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color w:val="auto"/>
          <w:kern w:val="0"/>
          <w:sz w:val="32"/>
          <w:szCs w:val="32"/>
        </w:rPr>
      </w:pPr>
    </w:p>
    <w:p>
      <w:pPr>
        <w:rPr>
          <w:rFonts w:ascii="黑体" w:eastAsia="黑体" w:cs="ArialUnicodeMS"/>
          <w:color w:val="auto"/>
          <w:kern w:val="0"/>
          <w:sz w:val="72"/>
          <w:szCs w:val="72"/>
        </w:rPr>
      </w:pPr>
    </w:p>
    <w:p>
      <w:pPr>
        <w:rPr>
          <w:rFonts w:ascii="黑体" w:eastAsia="黑体" w:cs="ArialUnicodeMS"/>
          <w:color w:val="auto"/>
          <w:kern w:val="0"/>
          <w:sz w:val="72"/>
          <w:szCs w:val="72"/>
        </w:rPr>
      </w:pPr>
    </w:p>
    <w:p>
      <w:pPr>
        <w:jc w:val="center"/>
        <w:rPr>
          <w:rFonts w:hint="eastAsia" w:ascii="黑体" w:hAnsi="黑体" w:eastAsia="黑体" w:cs="黑体"/>
          <w:color w:val="auto"/>
          <w:kern w:val="0"/>
          <w:sz w:val="52"/>
          <w:szCs w:val="52"/>
        </w:rPr>
      </w:pPr>
      <w:r>
        <w:rPr>
          <w:rFonts w:hint="eastAsia" w:ascii="黑体" w:hAnsi="黑体" w:eastAsia="黑体" w:cs="黑体"/>
          <w:bCs/>
          <w:color w:val="auto"/>
          <w:sz w:val="52"/>
          <w:szCs w:val="52"/>
          <w:u w:val="single"/>
        </w:rPr>
        <w:t>百色起义革命旧址管理处</w:t>
      </w:r>
      <w:r>
        <w:rPr>
          <w:rFonts w:ascii="黑体" w:hAnsi="黑体" w:eastAsia="黑体" w:cs="黑体"/>
          <w:color w:val="auto"/>
          <w:sz w:val="52"/>
          <w:u w:val="single" w:color="auto"/>
        </w:rPr>
        <w:t xml:space="preserve"> </w:t>
      </w:r>
      <w:r>
        <w:rPr>
          <w:rFonts w:hint="eastAsia" w:ascii="黑体" w:hAnsi="黑体" w:eastAsia="黑体" w:cs="黑体"/>
          <w:color w:val="auto"/>
          <w:kern w:val="0"/>
          <w:sz w:val="52"/>
          <w:szCs w:val="52"/>
        </w:rPr>
        <w:t>2022年度部门决算</w:t>
      </w:r>
    </w:p>
    <w:p>
      <w:pPr>
        <w:rPr>
          <w:rFonts w:ascii="Arial Unicode MS" w:eastAsia="Arial Unicode 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jc w:val="center"/>
        <w:rPr>
          <w:rFonts w:ascii="黑体" w:eastAsia="黑体" w:cs="黑体"/>
          <w:color w:val="auto"/>
          <w:kern w:val="0"/>
          <w:sz w:val="44"/>
          <w:szCs w:val="44"/>
        </w:rPr>
      </w:pPr>
    </w:p>
    <w:p>
      <w:pPr>
        <w:pStyle w:val="6"/>
        <w:widowControl/>
        <w:spacing w:before="196" w:beforeAutospacing="0" w:after="196" w:afterAutospacing="0" w:line="540" w:lineRule="atLeast"/>
        <w:ind w:firstLine="420"/>
        <w:jc w:val="both"/>
        <w:rPr>
          <w:rFonts w:ascii="Arial" w:hAnsi="Arial" w:eastAsia="微软雅黑" w:cs="Arial"/>
          <w:color w:val="auto"/>
          <w:shd w:val="clear" w:color="auto" w:fill="FFFFFF"/>
        </w:rPr>
      </w:pPr>
    </w:p>
    <w:p>
      <w:pPr>
        <w:pStyle w:val="6"/>
        <w:widowControl/>
        <w:spacing w:before="196" w:beforeAutospacing="0" w:after="196" w:afterAutospacing="0" w:line="540" w:lineRule="atLeast"/>
        <w:ind w:firstLine="420"/>
        <w:jc w:val="both"/>
        <w:rPr>
          <w:rFonts w:ascii="Arial" w:hAnsi="Arial" w:eastAsia="微软雅黑" w:cs="Arial"/>
          <w:color w:val="auto"/>
          <w:shd w:val="clear" w:color="auto" w:fill="FFFFFF"/>
        </w:rPr>
      </w:pPr>
    </w:p>
    <w:p>
      <w:pPr>
        <w:pStyle w:val="6"/>
        <w:widowControl/>
        <w:spacing w:before="196" w:beforeAutospacing="0" w:after="196" w:afterAutospacing="0" w:line="540" w:lineRule="atLeast"/>
        <w:ind w:firstLine="420"/>
        <w:jc w:val="both"/>
        <w:rPr>
          <w:rFonts w:ascii="Arial" w:hAnsi="Arial" w:eastAsia="微软雅黑" w:cs="Arial"/>
          <w:color w:val="auto"/>
          <w:shd w:val="clear" w:color="auto" w:fill="FFFFFF"/>
        </w:rPr>
      </w:pPr>
    </w:p>
    <w:p>
      <w:pPr>
        <w:ind w:firstLine="646"/>
        <w:jc w:val="center"/>
        <w:rPr>
          <w:rFonts w:hint="eastAsia" w:ascii="黑体" w:hAnsi="黑体" w:eastAsia="黑体" w:cs="黑体"/>
          <w:b/>
          <w:color w:val="auto"/>
          <w:sz w:val="44"/>
          <w:szCs w:val="44"/>
        </w:rPr>
      </w:pPr>
      <w:r>
        <w:rPr>
          <w:rFonts w:hint="eastAsia" w:ascii="黑体" w:hAnsi="黑体" w:eastAsia="黑体" w:cs="黑体"/>
          <w:b/>
          <w:color w:val="auto"/>
          <w:sz w:val="44"/>
          <w:szCs w:val="44"/>
        </w:rPr>
        <w:t>目    录</w:t>
      </w:r>
    </w:p>
    <w:p>
      <w:pPr>
        <w:ind w:firstLine="645"/>
        <w:rPr>
          <w:rFonts w:ascii="仿宋_GB2312" w:eastAsia="仿宋_GB2312"/>
          <w:b/>
          <w:color w:val="auto"/>
          <w:sz w:val="32"/>
          <w:szCs w:val="32"/>
        </w:rPr>
      </w:pPr>
    </w:p>
    <w:p>
      <w:pPr>
        <w:ind w:firstLine="645"/>
        <w:rPr>
          <w:rFonts w:ascii="黑体" w:hAnsi="黑体" w:eastAsia="黑体"/>
          <w:color w:val="auto"/>
          <w:sz w:val="32"/>
          <w:szCs w:val="32"/>
        </w:rPr>
      </w:pPr>
      <w:r>
        <w:rPr>
          <w:rFonts w:hint="eastAsia" w:ascii="黑体" w:hAnsi="黑体" w:eastAsia="黑体"/>
          <w:color w:val="auto"/>
          <w:sz w:val="32"/>
          <w:szCs w:val="32"/>
        </w:rPr>
        <w:t>第一部分：</w:t>
      </w:r>
      <w:r>
        <w:rPr>
          <w:rFonts w:hint="eastAsia" w:ascii="黑体" w:hAnsi="黑体" w:eastAsia="黑体"/>
          <w:bCs/>
          <w:color w:val="auto"/>
          <w:sz w:val="32"/>
          <w:szCs w:val="32"/>
          <w:u w:val="single"/>
        </w:rPr>
        <w:t>百色起义革命旧址管理处</w:t>
      </w:r>
      <w:r>
        <w:rPr>
          <w:rFonts w:hint="eastAsia" w:ascii="黑体" w:hAnsi="黑体" w:eastAsia="黑体"/>
          <w:color w:val="auto"/>
          <w:sz w:val="32"/>
          <w:szCs w:val="32"/>
        </w:rPr>
        <w:t>概况</w:t>
      </w:r>
    </w:p>
    <w:p>
      <w:pPr>
        <w:ind w:firstLine="645"/>
        <w:rPr>
          <w:rFonts w:hint="eastAsia" w:ascii="仿宋" w:hAnsi="仿宋" w:eastAsia="仿宋" w:cs="仿宋"/>
          <w:color w:val="auto"/>
          <w:sz w:val="32"/>
          <w:szCs w:val="32"/>
        </w:rPr>
      </w:pPr>
      <w:r>
        <w:rPr>
          <w:rFonts w:hint="eastAsia" w:ascii="仿宋" w:hAnsi="仿宋" w:eastAsia="仿宋" w:cs="仿宋"/>
          <w:color w:val="auto"/>
          <w:sz w:val="32"/>
          <w:szCs w:val="32"/>
        </w:rPr>
        <w:t>一、主要职能</w:t>
      </w:r>
    </w:p>
    <w:p>
      <w:pPr>
        <w:ind w:firstLine="645"/>
        <w:rPr>
          <w:rFonts w:ascii="仿宋_GB2312" w:eastAsia="仿宋_GB2312"/>
          <w:color w:val="auto"/>
          <w:sz w:val="32"/>
          <w:szCs w:val="32"/>
        </w:rPr>
      </w:pPr>
      <w:r>
        <w:rPr>
          <w:rFonts w:hint="eastAsia" w:ascii="仿宋" w:hAnsi="仿宋" w:eastAsia="仿宋" w:cs="仿宋"/>
          <w:color w:val="auto"/>
          <w:sz w:val="32"/>
          <w:szCs w:val="32"/>
        </w:rPr>
        <w:t>二、部门决算单位构成</w:t>
      </w:r>
    </w:p>
    <w:p>
      <w:pPr>
        <w:ind w:firstLine="645"/>
        <w:rPr>
          <w:rFonts w:ascii="黑体" w:hAnsi="黑体" w:eastAsia="黑体"/>
          <w:color w:val="auto"/>
          <w:sz w:val="32"/>
          <w:szCs w:val="32"/>
        </w:rPr>
      </w:pPr>
      <w:r>
        <w:rPr>
          <w:rFonts w:hint="eastAsia" w:ascii="黑体" w:hAnsi="黑体" w:eastAsia="黑体"/>
          <w:color w:val="auto"/>
          <w:sz w:val="32"/>
          <w:szCs w:val="32"/>
        </w:rPr>
        <w:t>第二部分：</w:t>
      </w:r>
      <w:r>
        <w:rPr>
          <w:rFonts w:hint="eastAsia" w:ascii="黑体" w:hAnsi="黑体" w:eastAsia="黑体"/>
          <w:bCs/>
          <w:color w:val="auto"/>
          <w:sz w:val="32"/>
          <w:szCs w:val="32"/>
          <w:u w:val="single"/>
        </w:rPr>
        <w:t>百色起义革命旧址管理处</w:t>
      </w:r>
      <w:r>
        <w:rPr>
          <w:rFonts w:hint="eastAsia" w:ascii="黑体" w:hAnsi="黑体" w:eastAsia="黑体"/>
          <w:color w:val="auto"/>
          <w:sz w:val="32"/>
          <w:szCs w:val="32"/>
        </w:rPr>
        <w:t>2022年度部门决算报表</w:t>
      </w:r>
    </w:p>
    <w:p>
      <w:pPr>
        <w:ind w:left="645"/>
        <w:rPr>
          <w:rFonts w:hint="eastAsia" w:ascii="仿宋" w:hAnsi="仿宋" w:eastAsia="仿宋" w:cs="仿宋"/>
          <w:color w:val="auto"/>
          <w:sz w:val="32"/>
          <w:szCs w:val="32"/>
        </w:rPr>
      </w:pPr>
      <w:r>
        <w:rPr>
          <w:rFonts w:hint="eastAsia" w:ascii="仿宋" w:hAnsi="仿宋" w:eastAsia="仿宋" w:cs="仿宋"/>
          <w:color w:val="auto"/>
          <w:sz w:val="32"/>
          <w:szCs w:val="32"/>
        </w:rPr>
        <w:t>表一：收入支出决算总表</w:t>
      </w:r>
    </w:p>
    <w:p>
      <w:pPr>
        <w:ind w:left="645"/>
        <w:rPr>
          <w:rFonts w:hint="eastAsia" w:ascii="仿宋" w:hAnsi="仿宋" w:eastAsia="仿宋" w:cs="仿宋"/>
          <w:color w:val="auto"/>
          <w:sz w:val="32"/>
          <w:szCs w:val="32"/>
        </w:rPr>
      </w:pPr>
      <w:r>
        <w:rPr>
          <w:rFonts w:hint="eastAsia" w:ascii="仿宋" w:hAnsi="仿宋" w:eastAsia="仿宋" w:cs="仿宋"/>
          <w:color w:val="auto"/>
          <w:sz w:val="32"/>
          <w:szCs w:val="32"/>
        </w:rPr>
        <w:t>表二：收入决算表</w:t>
      </w:r>
    </w:p>
    <w:p>
      <w:pPr>
        <w:ind w:left="645"/>
        <w:rPr>
          <w:rFonts w:hint="eastAsia" w:ascii="仿宋" w:hAnsi="仿宋" w:eastAsia="仿宋" w:cs="仿宋"/>
          <w:color w:val="auto"/>
          <w:sz w:val="32"/>
          <w:szCs w:val="32"/>
        </w:rPr>
      </w:pPr>
      <w:r>
        <w:rPr>
          <w:rFonts w:hint="eastAsia" w:ascii="仿宋" w:hAnsi="仿宋" w:eastAsia="仿宋" w:cs="仿宋"/>
          <w:color w:val="auto"/>
          <w:sz w:val="32"/>
          <w:szCs w:val="32"/>
        </w:rPr>
        <w:t>表三：支出决算表</w:t>
      </w:r>
    </w:p>
    <w:p>
      <w:pPr>
        <w:ind w:left="645"/>
        <w:rPr>
          <w:rFonts w:hint="eastAsia" w:ascii="仿宋" w:hAnsi="仿宋" w:eastAsia="仿宋" w:cs="仿宋"/>
          <w:color w:val="auto"/>
          <w:sz w:val="32"/>
          <w:szCs w:val="32"/>
        </w:rPr>
      </w:pPr>
      <w:r>
        <w:rPr>
          <w:rFonts w:hint="eastAsia" w:ascii="仿宋" w:hAnsi="仿宋" w:eastAsia="仿宋" w:cs="仿宋"/>
          <w:color w:val="auto"/>
          <w:sz w:val="32"/>
          <w:szCs w:val="32"/>
        </w:rPr>
        <w:t>表四：财政拨款收入支出决算总表</w:t>
      </w:r>
    </w:p>
    <w:p>
      <w:pPr>
        <w:ind w:left="645"/>
        <w:rPr>
          <w:rFonts w:hint="eastAsia" w:ascii="仿宋" w:hAnsi="仿宋" w:eastAsia="仿宋" w:cs="仿宋"/>
          <w:color w:val="auto"/>
          <w:sz w:val="32"/>
          <w:szCs w:val="32"/>
        </w:rPr>
      </w:pPr>
      <w:r>
        <w:rPr>
          <w:rFonts w:hint="eastAsia" w:ascii="仿宋" w:hAnsi="仿宋" w:eastAsia="仿宋" w:cs="仿宋"/>
          <w:color w:val="auto"/>
          <w:sz w:val="32"/>
          <w:szCs w:val="32"/>
        </w:rPr>
        <w:t>表五：一般公共预算财政拨款支出决算表</w:t>
      </w:r>
    </w:p>
    <w:p>
      <w:pPr>
        <w:ind w:left="645"/>
        <w:rPr>
          <w:rFonts w:hint="eastAsia" w:ascii="仿宋" w:hAnsi="仿宋" w:eastAsia="仿宋" w:cs="仿宋"/>
          <w:color w:val="auto"/>
          <w:sz w:val="32"/>
          <w:szCs w:val="32"/>
        </w:rPr>
      </w:pPr>
      <w:r>
        <w:rPr>
          <w:rFonts w:hint="eastAsia" w:ascii="仿宋" w:hAnsi="仿宋" w:eastAsia="仿宋" w:cs="仿宋"/>
          <w:color w:val="auto"/>
          <w:sz w:val="32"/>
          <w:szCs w:val="32"/>
        </w:rPr>
        <w:t>表六：一般公共预算财政拨款基本支出决算明细表</w:t>
      </w:r>
    </w:p>
    <w:p>
      <w:pPr>
        <w:ind w:left="645"/>
        <w:rPr>
          <w:rFonts w:hint="eastAsia" w:ascii="仿宋" w:hAnsi="仿宋" w:eastAsia="仿宋" w:cs="仿宋"/>
          <w:color w:val="auto"/>
          <w:sz w:val="32"/>
          <w:szCs w:val="32"/>
        </w:rPr>
      </w:pPr>
      <w:r>
        <w:rPr>
          <w:rFonts w:hint="eastAsia" w:ascii="仿宋" w:hAnsi="仿宋" w:eastAsia="仿宋" w:cs="仿宋"/>
          <w:color w:val="auto"/>
          <w:sz w:val="32"/>
          <w:szCs w:val="32"/>
        </w:rPr>
        <w:t>表七：政府性基金预算财政拨款收入支出决算表</w:t>
      </w:r>
    </w:p>
    <w:p>
      <w:pPr>
        <w:ind w:left="645"/>
        <w:rPr>
          <w:rFonts w:hint="eastAsia" w:ascii="仿宋" w:hAnsi="仿宋" w:eastAsia="仿宋" w:cs="仿宋"/>
          <w:color w:val="auto"/>
          <w:sz w:val="32"/>
          <w:szCs w:val="32"/>
        </w:rPr>
      </w:pPr>
      <w:r>
        <w:rPr>
          <w:rFonts w:hint="eastAsia" w:ascii="仿宋" w:hAnsi="仿宋" w:eastAsia="仿宋" w:cs="仿宋"/>
          <w:color w:val="auto"/>
          <w:sz w:val="32"/>
          <w:szCs w:val="32"/>
        </w:rPr>
        <w:t>表八：国有资本经营预算财政拨款支出决算表</w:t>
      </w:r>
    </w:p>
    <w:p>
      <w:pPr>
        <w:ind w:left="645"/>
        <w:rPr>
          <w:rFonts w:hint="eastAsia" w:ascii="仿宋" w:hAnsi="仿宋" w:eastAsia="仿宋" w:cs="仿宋"/>
          <w:color w:val="auto"/>
          <w:sz w:val="32"/>
          <w:szCs w:val="32"/>
        </w:rPr>
      </w:pPr>
      <w:r>
        <w:rPr>
          <w:rFonts w:hint="eastAsia" w:ascii="仿宋" w:hAnsi="仿宋" w:eastAsia="仿宋" w:cs="仿宋"/>
          <w:color w:val="auto"/>
          <w:sz w:val="32"/>
          <w:szCs w:val="32"/>
        </w:rPr>
        <w:t>表九：一般公共预算财政拨款安排的“三公”经费支出决算表</w:t>
      </w:r>
    </w:p>
    <w:p>
      <w:pPr>
        <w:ind w:firstLine="645"/>
        <w:rPr>
          <w:rFonts w:ascii="黑体" w:hAnsi="黑体" w:eastAsia="黑体"/>
          <w:color w:val="auto"/>
          <w:sz w:val="32"/>
          <w:szCs w:val="32"/>
        </w:rPr>
      </w:pPr>
      <w:r>
        <w:rPr>
          <w:rFonts w:hint="eastAsia" w:ascii="黑体" w:hAnsi="黑体" w:eastAsia="黑体"/>
          <w:color w:val="auto"/>
          <w:sz w:val="32"/>
          <w:szCs w:val="32"/>
        </w:rPr>
        <w:t>第三部分：</w:t>
      </w:r>
      <w:r>
        <w:rPr>
          <w:rFonts w:hint="eastAsia" w:ascii="黑体" w:hAnsi="黑体" w:eastAsia="黑体"/>
          <w:bCs/>
          <w:color w:val="auto"/>
          <w:sz w:val="32"/>
          <w:szCs w:val="32"/>
          <w:u w:val="single"/>
        </w:rPr>
        <w:t>百色起义革命旧址管理处</w:t>
      </w:r>
      <w:r>
        <w:rPr>
          <w:rFonts w:hint="eastAsia" w:ascii="黑体" w:hAnsi="黑体" w:eastAsia="黑体"/>
          <w:color w:val="auto"/>
          <w:sz w:val="32"/>
          <w:szCs w:val="32"/>
        </w:rPr>
        <w:t>2022年度部门决算情况说明</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一、2022年度收入支出决算总体情况。</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二、2022年度</w:t>
      </w:r>
      <w:r>
        <w:rPr>
          <w:rFonts w:hint="eastAsia" w:ascii="仿宋" w:hAnsi="仿宋" w:eastAsia="仿宋" w:cs="仿宋"/>
          <w:color w:val="auto"/>
          <w:sz w:val="32"/>
          <w:szCs w:val="32"/>
        </w:rPr>
        <w:t>一般</w:t>
      </w:r>
      <w:r>
        <w:rPr>
          <w:rFonts w:hint="eastAsia" w:ascii="仿宋" w:hAnsi="仿宋" w:eastAsia="仿宋" w:cs="仿宋"/>
          <w:color w:val="auto"/>
          <w:kern w:val="0"/>
          <w:sz w:val="32"/>
          <w:szCs w:val="32"/>
        </w:rPr>
        <w:t>公共预算财政拨款支出决算情况。</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三、2022年度一般公共预算财政拨款基本支出决算情况说明。</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四、2022年度政府性基金支出决算情况。</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五、2022年度国有资本经营预算支出决算情况。</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六、</w:t>
      </w:r>
      <w:r>
        <w:rPr>
          <w:rFonts w:hint="eastAsia" w:ascii="仿宋" w:hAnsi="仿宋" w:eastAsia="仿宋" w:cs="仿宋"/>
          <w:color w:val="auto"/>
          <w:sz w:val="32"/>
          <w:szCs w:val="32"/>
        </w:rPr>
        <w:t>一般</w:t>
      </w:r>
      <w:r>
        <w:rPr>
          <w:rFonts w:hint="eastAsia" w:ascii="仿宋" w:hAnsi="仿宋" w:eastAsia="仿宋" w:cs="仿宋"/>
          <w:color w:val="auto"/>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七、其他重要事项情况说明。</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八、预算绩效管理工作开展情况。</w:t>
      </w:r>
    </w:p>
    <w:p>
      <w:pPr>
        <w:ind w:firstLine="645"/>
        <w:rPr>
          <w:rFonts w:ascii="黑体" w:hAnsi="黑体" w:eastAsia="黑体"/>
          <w:color w:val="auto"/>
          <w:sz w:val="32"/>
          <w:szCs w:val="32"/>
        </w:rPr>
      </w:pPr>
      <w:r>
        <w:rPr>
          <w:rFonts w:ascii="黑体" w:hAnsi="黑体" w:eastAsia="黑体"/>
          <w:color w:val="auto"/>
          <w:sz w:val="32"/>
          <w:szCs w:val="32"/>
        </w:rPr>
        <w:t>第四部分:名词解释</w:t>
      </w:r>
    </w:p>
    <w:p>
      <w:pPr>
        <w:pStyle w:val="6"/>
        <w:widowControl/>
        <w:spacing w:before="196" w:beforeAutospacing="0" w:after="196" w:afterAutospacing="0" w:line="540" w:lineRule="atLeast"/>
        <w:ind w:firstLine="420"/>
        <w:jc w:val="center"/>
        <w:rPr>
          <w:rFonts w:ascii="Arial" w:hAnsi="Arial" w:eastAsia="微软雅黑" w:cs="Arial"/>
          <w:color w:val="auto"/>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auto"/>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auto"/>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auto"/>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auto"/>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auto"/>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auto"/>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auto"/>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auto"/>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auto"/>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auto"/>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auto"/>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auto"/>
          <w:shd w:val="clear" w:color="auto" w:fill="FFFFFF"/>
        </w:rPr>
      </w:pPr>
    </w:p>
    <w:p>
      <w:pPr>
        <w:ind w:firstLine="646"/>
        <w:jc w:val="center"/>
        <w:rPr>
          <w:rFonts w:ascii="黑体" w:hAnsi="黑体" w:eastAsia="黑体"/>
          <w:color w:val="auto"/>
          <w:sz w:val="32"/>
          <w:szCs w:val="32"/>
        </w:rPr>
      </w:pPr>
      <w:r>
        <w:rPr>
          <w:rFonts w:hint="eastAsia" w:ascii="黑体" w:hAnsi="黑体" w:eastAsia="黑体"/>
          <w:color w:val="auto"/>
          <w:sz w:val="32"/>
          <w:szCs w:val="32"/>
        </w:rPr>
        <w:t>第一部分：</w:t>
      </w:r>
      <w:r>
        <w:rPr>
          <w:rFonts w:hint="eastAsia" w:ascii="黑体" w:hAnsi="黑体" w:eastAsia="黑体"/>
          <w:bCs/>
          <w:color w:val="auto"/>
          <w:sz w:val="32"/>
          <w:szCs w:val="32"/>
          <w:u w:val="single"/>
        </w:rPr>
        <w:t>百色起义革命旧址管理处</w:t>
      </w:r>
      <w:r>
        <w:rPr>
          <w:rFonts w:hint="eastAsia" w:ascii="黑体" w:hAnsi="黑体" w:eastAsia="黑体"/>
          <w:bCs/>
          <w:color w:val="auto"/>
          <w:sz w:val="32"/>
          <w:szCs w:val="32"/>
        </w:rPr>
        <w:t>（</w:t>
      </w:r>
      <w:r>
        <w:rPr>
          <w:rFonts w:hint="eastAsia" w:ascii="黑体" w:hAnsi="黑体" w:eastAsia="黑体"/>
          <w:color w:val="auto"/>
          <w:sz w:val="32"/>
          <w:szCs w:val="32"/>
        </w:rPr>
        <w:t>概况</w:t>
      </w:r>
    </w:p>
    <w:p>
      <w:pPr>
        <w:ind w:firstLine="646"/>
        <w:rPr>
          <w:rFonts w:ascii="黑体" w:hAnsi="黑体" w:eastAsia="黑体"/>
          <w:color w:val="auto"/>
          <w:sz w:val="32"/>
          <w:szCs w:val="32"/>
        </w:rPr>
      </w:pPr>
      <w:r>
        <w:rPr>
          <w:rFonts w:hint="eastAsia" w:ascii="黑体" w:hAnsi="黑体" w:eastAsia="黑体"/>
          <w:color w:val="auto"/>
          <w:sz w:val="32"/>
          <w:szCs w:val="32"/>
        </w:rPr>
        <w:t>一、主要职能</w:t>
      </w:r>
    </w:p>
    <w:p>
      <w:pPr>
        <w:ind w:firstLine="600" w:firstLineChars="200"/>
        <w:jc w:val="left"/>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b w:val="0"/>
          <w:i w:val="0"/>
          <w:color w:val="auto"/>
          <w:sz w:val="30"/>
          <w:szCs w:val="30"/>
        </w:rPr>
        <w:t>负责红七军军部旧址（粤东会馆）和红七军政治部旧址（清风楼）、灵洲会馆、红军码头的日常管理工作，落实防火、防漏、防盗等安全措施，确保革命旧址及所存文物的安全。研究提出旧址维修方案并具体负责维修工作。做好革命文物的收集、整理、保护与利用工作及接待工作，运用革命历史文物、史料和纪念性建筑等进行爱国主义、革命传统教育以及廉政教育，做好观众参观工作和各种政务接待工作。</w:t>
      </w:r>
    </w:p>
    <w:p>
      <w:pPr>
        <w:ind w:firstLine="646"/>
        <w:rPr>
          <w:rFonts w:ascii="黑体" w:hAnsi="黑体" w:eastAsia="黑体"/>
          <w:color w:val="auto"/>
          <w:sz w:val="32"/>
          <w:szCs w:val="32"/>
        </w:rPr>
      </w:pPr>
      <w:r>
        <w:rPr>
          <w:rFonts w:hint="eastAsia" w:ascii="黑体" w:hAnsi="黑体" w:eastAsia="黑体"/>
          <w:color w:val="auto"/>
          <w:sz w:val="32"/>
          <w:szCs w:val="32"/>
        </w:rPr>
        <w:t>二、部门决算单位构成</w:t>
      </w:r>
    </w:p>
    <w:p>
      <w:pPr>
        <w:ind w:firstLine="645"/>
        <w:rPr>
          <w:color w:val="auto"/>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i w:val="0"/>
          <w:color w:val="auto"/>
          <w:sz w:val="30"/>
          <w:szCs w:val="30"/>
        </w:rPr>
        <w:t>单位预算级次为二级预算单位，属财政全额拨款事业单位，内设办公室、陈列保管部、社教开放部、环境管理部、安全保卫部五个职能科室。 在职人员：百色起义革命旧址管理处人员编制数为事业编制8名，事业在职实有人数</w:t>
      </w:r>
      <w:r>
        <w:rPr>
          <w:rFonts w:hint="eastAsia" w:ascii="仿宋_GB2312" w:hAnsi="仿宋_GB2312" w:eastAsia="仿宋_GB2312" w:cs="仿宋_GB2312"/>
          <w:b w:val="0"/>
          <w:i w:val="0"/>
          <w:color w:val="auto"/>
          <w:sz w:val="30"/>
          <w:szCs w:val="30"/>
          <w:lang w:val="en-US" w:eastAsia="zh-CN"/>
        </w:rPr>
        <w:t>8</w:t>
      </w:r>
      <w:r>
        <w:rPr>
          <w:rFonts w:hint="eastAsia" w:ascii="仿宋_GB2312" w:hAnsi="仿宋_GB2312" w:eastAsia="仿宋_GB2312" w:cs="仿宋_GB2312"/>
          <w:b w:val="0"/>
          <w:i w:val="0"/>
          <w:color w:val="auto"/>
          <w:sz w:val="30"/>
          <w:szCs w:val="30"/>
        </w:rPr>
        <w:t>人。退休人员：事业退休实有人数3人。 编制外聘用人员1</w:t>
      </w:r>
      <w:r>
        <w:rPr>
          <w:rFonts w:hint="eastAsia" w:ascii="仿宋_GB2312" w:hAnsi="仿宋_GB2312" w:eastAsia="仿宋_GB2312" w:cs="仿宋_GB2312"/>
          <w:b w:val="0"/>
          <w:i w:val="0"/>
          <w:color w:val="auto"/>
          <w:sz w:val="30"/>
          <w:szCs w:val="30"/>
          <w:lang w:val="en-US" w:eastAsia="zh-CN"/>
        </w:rPr>
        <w:t>8</w:t>
      </w:r>
      <w:r>
        <w:rPr>
          <w:rFonts w:hint="eastAsia" w:ascii="仿宋_GB2312" w:hAnsi="仿宋_GB2312" w:eastAsia="仿宋_GB2312" w:cs="仿宋_GB2312"/>
          <w:b w:val="0"/>
          <w:i w:val="0"/>
          <w:color w:val="auto"/>
          <w:sz w:val="30"/>
          <w:szCs w:val="30"/>
        </w:rPr>
        <w:t>人。</w:t>
      </w:r>
    </w:p>
    <w:p>
      <w:pPr>
        <w:jc w:val="both"/>
        <w:rPr>
          <w:rFonts w:ascii="黑体" w:hAnsi="黑体" w:eastAsia="黑体"/>
          <w:color w:val="auto"/>
          <w:sz w:val="32"/>
          <w:szCs w:val="32"/>
        </w:rPr>
      </w:pPr>
      <w:r>
        <w:rPr>
          <w:rFonts w:hint="eastAsia" w:ascii="黑体" w:hAnsi="黑体" w:eastAsia="黑体"/>
          <w:color w:val="auto"/>
          <w:sz w:val="32"/>
          <w:szCs w:val="32"/>
        </w:rPr>
        <w:t>第二部分：</w:t>
      </w:r>
      <w:r>
        <w:rPr>
          <w:rFonts w:hint="eastAsia" w:ascii="黑体" w:hAnsi="黑体" w:eastAsia="黑体"/>
          <w:bCs/>
          <w:color w:val="auto"/>
          <w:sz w:val="32"/>
          <w:szCs w:val="32"/>
          <w:u w:val="single"/>
        </w:rPr>
        <w:t>百色起义革命旧址管理处</w:t>
      </w:r>
      <w:r>
        <w:rPr>
          <w:rFonts w:hint="eastAsia" w:ascii="黑体" w:hAnsi="黑体" w:eastAsia="黑体"/>
          <w:color w:val="auto"/>
          <w:sz w:val="32"/>
          <w:szCs w:val="32"/>
        </w:rPr>
        <w:t xml:space="preserve"> 2022年度部门决算报表</w:t>
      </w:r>
    </w:p>
    <w:tbl>
      <w:tblPr>
        <w:tblStyle w:val="7"/>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ascii="宋体" w:hAnsi="宋体" w:eastAsia="宋体" w:cs="宋体"/>
                <w:color w:val="auto"/>
                <w:sz w:val="20"/>
                <w:u w:color="auto"/>
              </w:rPr>
              <w:t>百色起义革命旧址管理处</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679.40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654.05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14.49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3.16</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8.58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679.40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680.29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40.70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39.81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720.10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720.10</w:t>
            </w:r>
          </w:p>
        </w:tc>
      </w:tr>
    </w:tbl>
    <w:p>
      <w:pPr>
        <w:rPr>
          <w:rFonts w:ascii="宋体" w:hAnsi="宋体" w:eastAsia="宋体" w:cs="宋体"/>
          <w:color w:val="auto"/>
          <w:kern w:val="0"/>
          <w:sz w:val="30"/>
          <w:szCs w:val="30"/>
          <w:highlight w:val="none"/>
          <w:lang w:bidi="ar"/>
        </w:rPr>
      </w:pPr>
      <w:r>
        <w:rPr>
          <w:rFonts w:hint="eastAsia" w:ascii="宋体" w:hAnsi="宋体" w:eastAsia="宋体" w:cs="宋体"/>
          <w:color w:val="auto"/>
          <w:kern w:val="0"/>
          <w:sz w:val="30"/>
          <w:szCs w:val="30"/>
          <w:highlight w:val="none"/>
          <w:lang w:bidi="ar"/>
        </w:rPr>
        <w:br w:type="page"/>
      </w:r>
    </w:p>
    <w:tbl>
      <w:tblPr>
        <w:tblStyle w:val="7"/>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ascii="宋体" w:hAnsi="宋体" w:eastAsia="宋体" w:cs="宋体"/>
                <w:color w:val="auto"/>
                <w:sz w:val="20"/>
                <w:u w:color="auto"/>
              </w:rPr>
              <w:t>百色起义革命旧址管理处</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679.40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679.40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207</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文化旅游体育与传媒支出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653.17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653.17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20701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文化和旅游</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15.67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15.67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2070199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其他文化和旅游支出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15.67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15.67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20702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文物</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637.50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637.50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2070204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文物保护</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337.54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337.54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2070205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博物馆</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214.62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214.62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2070299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其他文物支出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85.34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85.34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14.49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14.49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14.49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14.49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2080502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事业单位离退休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3.87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3.87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10.63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10.63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3.16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3.16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21011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行政事业单位医疗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3.16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3.16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2101102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3.16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3.16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8.58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8.58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8.58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8.58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8.58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8.58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注：本表反映部门本年度取得的各项收入情况。</w:t>
            </w:r>
          </w:p>
        </w:tc>
      </w:tr>
    </w:tbl>
    <w:p>
      <w:pPr>
        <w:jc w:val="center"/>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cente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表三：支出决算表</w:t>
      </w:r>
    </w:p>
    <w:p>
      <w:pPr>
        <w:jc w:val="left"/>
        <w:rPr>
          <w:rFonts w:hint="eastAsia" w:ascii="仿宋" w:hAnsi="仿宋" w:eastAsia="仿宋" w:cs="仿宋"/>
          <w:color w:val="auto"/>
          <w:sz w:val="24"/>
          <w:highlight w:val="none"/>
        </w:rPr>
      </w:pPr>
    </w:p>
    <w:tbl>
      <w:tblPr>
        <w:tblStyle w:val="7"/>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ascii="宋体" w:hAnsi="宋体" w:eastAsia="宋体" w:cs="宋体"/>
                <w:color w:val="auto"/>
                <w:sz w:val="20"/>
                <w:u w:color="auto"/>
              </w:rPr>
              <w:t>百色起义革命旧址管理处</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default" w:ascii="宋体" w:hAnsi="宋体" w:eastAsia="宋体" w:cs="宋体"/>
                <w:b/>
                <w:bCs/>
                <w:color w:val="auto"/>
                <w:sz w:val="22"/>
                <w:szCs w:val="22"/>
                <w:highlight w:val="none"/>
              </w:rPr>
              <w:t>680.29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default" w:ascii="宋体" w:hAnsi="宋体" w:eastAsia="宋体" w:cs="宋体"/>
                <w:b/>
                <w:bCs/>
                <w:color w:val="auto"/>
                <w:sz w:val="22"/>
                <w:szCs w:val="22"/>
                <w:highlight w:val="none"/>
              </w:rPr>
              <w:t>111.58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568.71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default"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207</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文化旅游体育与传媒支出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654.05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85.34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568.71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20701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文化和旅游</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15.67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2070199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其他文化和旅游支出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15.67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20702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文物</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638.38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85.34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553.04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2070204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文物保护</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337.54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337.54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2070205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博物馆</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214.62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214.62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2070299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其他文物支出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86.22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85.34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0.88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14.49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14.49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14.49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14.49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2080502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事业单位离退休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3.87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3.87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10.63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10.63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3.16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3.16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21011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行政事业单位医疗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3.16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3.16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2101102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3.16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3.16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8.58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8.58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8.58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8.58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8.58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8.58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注：本表反映部门本年度各项支出情况。</w:t>
            </w: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cente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表四：财政拨款收入支出决算总表</w:t>
      </w:r>
    </w:p>
    <w:p>
      <w:pPr>
        <w:jc w:val="left"/>
        <w:rPr>
          <w:rFonts w:hint="eastAsia" w:ascii="仿宋" w:hAnsi="仿宋" w:eastAsia="仿宋" w:cs="仿宋"/>
          <w:color w:val="auto"/>
          <w:sz w:val="24"/>
          <w:highlight w:val="none"/>
        </w:rPr>
      </w:pPr>
    </w:p>
    <w:tbl>
      <w:tblPr>
        <w:tblStyle w:val="7"/>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ascii="宋体" w:hAnsi="宋体" w:eastAsia="宋体" w:cs="宋体"/>
                <w:color w:val="auto"/>
                <w:sz w:val="20"/>
                <w:u w:color="auto"/>
              </w:rPr>
              <w:t>百色起义革命旧址管理处</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679.40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653.17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653.17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14.49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14.49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3.16</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3.16</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8.58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8.58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679.40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679.40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679.40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679.40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679.40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679.40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0"/>
                <w:szCs w:val="20"/>
                <w:highlight w:val="none"/>
              </w:rPr>
            </w:pPr>
          </w:p>
        </w:tc>
      </w:tr>
    </w:tbl>
    <w:p>
      <w:pPr>
        <w:jc w:val="left"/>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表五：一般公共预算财政拨款支出决算表</w:t>
      </w:r>
    </w:p>
    <w:p>
      <w:pPr>
        <w:jc w:val="left"/>
        <w:rPr>
          <w:rFonts w:hint="eastAsia" w:ascii="仿宋" w:hAnsi="仿宋" w:eastAsia="仿宋" w:cs="仿宋"/>
          <w:color w:val="auto"/>
          <w:sz w:val="24"/>
          <w:highlight w:val="none"/>
        </w:rPr>
      </w:pPr>
    </w:p>
    <w:tbl>
      <w:tblPr>
        <w:tblStyle w:val="7"/>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ascii="宋体" w:hAnsi="宋体" w:eastAsia="宋体" w:cs="宋体"/>
                <w:color w:val="auto"/>
                <w:sz w:val="20"/>
                <w:u w:color="auto"/>
              </w:rPr>
              <w:t>百色起义革命旧址管理处</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default" w:ascii="宋体" w:hAnsi="宋体" w:eastAsia="宋体" w:cs="宋体"/>
                <w:b/>
                <w:bCs/>
                <w:color w:val="auto"/>
                <w:sz w:val="22"/>
                <w:szCs w:val="22"/>
                <w:highlight w:val="none"/>
              </w:rPr>
              <w:t>679.40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111.58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567.83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207</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文化旅游体育与传媒支出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653.17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85.34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567.83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20701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文化和旅游</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15.67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15.67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2070199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其他文化和旅游支出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15.67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15.67</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20702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文物</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637.50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85.34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552.16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2070204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文物保护</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337.54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337.54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2070205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博物馆</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214.62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214.62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2070299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其他文物支出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85.34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85.34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14.49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14.49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14.49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14.49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2080502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事业单位离退休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3.87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3.87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10.63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10.63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21011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行政事业单位医疗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2101102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8.58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8.58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8.58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8.58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8.58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8.58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注：本表反映部门本年度一般公共预算财政拨款支出情况。</w:t>
            </w: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表六：一般公共预算财政拨款基本支出决算表</w:t>
      </w:r>
    </w:p>
    <w:p>
      <w:pPr>
        <w:jc w:val="left"/>
        <w:rPr>
          <w:rFonts w:hint="eastAsia" w:ascii="仿宋" w:hAnsi="仿宋" w:eastAsia="仿宋" w:cs="仿宋"/>
          <w:color w:val="auto"/>
          <w:sz w:val="24"/>
          <w:highlight w:val="none"/>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ascii="宋体" w:hAnsi="宋体" w:eastAsia="宋体" w:cs="宋体"/>
                <w:color w:val="auto"/>
                <w:sz w:val="20"/>
                <w:u w:color="auto"/>
              </w:rPr>
              <w:t>百色起义革命旧址管理处</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99.38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8.38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26.96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2.04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4.71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26.69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18.43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0.36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10.63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0.48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0.41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0.26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1.01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8.58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0.63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3.82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3.82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1.15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2.31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103.20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2"/>
                <w:szCs w:val="22"/>
                <w:highlight w:val="none"/>
              </w:rPr>
            </w:pPr>
            <w:r>
              <w:rPr>
                <w:rFonts w:hint="default" w:ascii="宋体" w:hAnsi="宋体" w:eastAsia="宋体" w:cs="宋体"/>
                <w:color w:val="auto"/>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8.38</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注：本表反映部门本年度一般公共预算财政拨款基本支出明细情况。</w:t>
            </w:r>
          </w:p>
        </w:tc>
      </w:tr>
    </w:tbl>
    <w:p>
      <w:pPr>
        <w:jc w:val="left"/>
        <w:rPr>
          <w:rFonts w:ascii="仿宋" w:hAnsi="仿宋" w:eastAsia="仿宋" w:cs="仿宋"/>
          <w:color w:val="auto"/>
          <w:sz w:val="24"/>
          <w:highlight w:val="none"/>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：政府性基金预算财政拨款收入支出决算表</w:t>
      </w:r>
    </w:p>
    <w:p>
      <w:pPr>
        <w:jc w:val="left"/>
        <w:rPr>
          <w:rFonts w:hint="eastAsia" w:ascii="仿宋" w:hAnsi="仿宋" w:eastAsia="仿宋" w:cs="仿宋"/>
          <w:color w:val="auto"/>
          <w:sz w:val="24"/>
          <w:highlight w:val="none"/>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公开08表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ascii="宋体" w:hAnsi="宋体" w:eastAsia="宋体" w:cs="宋体"/>
                <w:color w:val="auto"/>
                <w:sz w:val="20"/>
                <w:u w:color="auto"/>
              </w:rPr>
              <w:t>百色起义革命旧址管理处</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2" w:type="dxa"/>
          <w:trHeight w:val="931"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：国有资本经营预算财政拨款支出决算表</w:t>
      </w:r>
    </w:p>
    <w:p>
      <w:pPr>
        <w:jc w:val="left"/>
        <w:rPr>
          <w:rFonts w:hint="eastAsia" w:ascii="仿宋" w:hAnsi="仿宋" w:eastAsia="仿宋" w:cs="仿宋"/>
          <w:color w:val="auto"/>
          <w:sz w:val="24"/>
          <w:highlight w:val="none"/>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公开09表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ascii="宋体" w:hAnsi="宋体" w:eastAsia="宋体" w:cs="宋体"/>
                <w:color w:val="auto"/>
                <w:sz w:val="20"/>
                <w:u w:color="auto"/>
              </w:rPr>
              <w:t>百色起义革命旧址管理处</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auto"/>
          <w:kern w:val="0"/>
          <w:sz w:val="22"/>
          <w:szCs w:val="22"/>
          <w:highlight w:val="none"/>
          <w:lang w:bidi="ar"/>
        </w:rPr>
        <w:br w:type="page"/>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表九：</w:t>
            </w:r>
            <w:r>
              <w:rPr>
                <w:rFonts w:hint="eastAsia" w:ascii="仿宋" w:hAnsi="仿宋" w:eastAsia="仿宋" w:cs="仿宋"/>
                <w:color w:val="auto"/>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auto"/>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公开07表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ascii="宋体" w:hAnsi="宋体" w:eastAsia="宋体" w:cs="宋体"/>
                <w:color w:val="auto"/>
                <w:sz w:val="20"/>
                <w:u w:color="auto"/>
              </w:rPr>
              <w:t>百色起义革命旧址管理处</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auto"/>
                <w:highlight w:val="none"/>
              </w:rPr>
            </w:pPr>
            <w:r>
              <w:rPr>
                <w:rFonts w:hint="default"/>
                <w:color w:val="auto"/>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auto"/>
                <w:highlight w:val="none"/>
              </w:rPr>
            </w:pPr>
            <w:r>
              <w:rPr>
                <w:rFonts w:hint="eastAsia"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年度没有一般公共预算财政拨款“三公”经费收入，也没有一般公共预算财政拨款“三公”经费安排的支出，故本表无数据。</w:t>
            </w:r>
          </w:p>
        </w:tc>
      </w:tr>
    </w:tbl>
    <w:p>
      <w:pPr>
        <w:ind w:firstLine="420" w:firstLineChars="0"/>
        <w:jc w:val="left"/>
        <w:rPr>
          <w:rFonts w:ascii="仿宋" w:hAnsi="仿宋" w:eastAsia="仿宋" w:cs="仿宋"/>
          <w:color w:val="auto"/>
          <w:sz w:val="24"/>
          <w:highlight w:val="none"/>
        </w:rPr>
        <w:sectPr>
          <w:pgSz w:w="16838" w:h="11906" w:orient="landscape"/>
          <w:pgMar w:top="1800" w:right="1440" w:bottom="1800" w:left="1440" w:header="851" w:footer="992" w:gutter="0"/>
          <w:cols w:space="425" w:num="1"/>
          <w:docGrid w:type="lines" w:linePitch="312" w:charSpace="0"/>
        </w:sectPr>
      </w:pPr>
    </w:p>
    <w:p>
      <w:pPr>
        <w:pStyle w:val="6"/>
        <w:widowControl/>
        <w:spacing w:before="450" w:beforeAutospacing="0" w:after="450" w:afterAutospacing="0" w:line="420" w:lineRule="atLeast"/>
        <w:jc w:val="center"/>
        <w:rPr>
          <w:color w:val="auto"/>
        </w:rPr>
      </w:pPr>
      <w:r>
        <w:rPr>
          <w:rFonts w:hint="eastAsia" w:ascii="黑体" w:hAnsi="宋体" w:eastAsia="黑体" w:cs="黑体"/>
          <w:color w:val="auto"/>
          <w:sz w:val="36"/>
          <w:szCs w:val="36"/>
          <w:shd w:val="clear" w:color="auto" w:fill="FFFFFF"/>
        </w:rPr>
        <w:t>第三部分：</w:t>
      </w:r>
      <w:r>
        <w:rPr>
          <w:rFonts w:hint="eastAsia" w:ascii="黑体" w:hAnsi="黑体" w:eastAsia="黑体"/>
          <w:bCs/>
          <w:color w:val="auto"/>
          <w:sz w:val="32"/>
          <w:szCs w:val="32"/>
          <w:u w:val="single"/>
        </w:rPr>
        <w:t>百色起义革命旧址管理处</w:t>
      </w:r>
      <w:r>
        <w:rPr>
          <w:rFonts w:hint="eastAsia" w:ascii="黑体" w:hAnsi="宋体" w:eastAsia="黑体" w:cs="黑体"/>
          <w:color w:val="auto"/>
          <w:sz w:val="36"/>
          <w:szCs w:val="36"/>
          <w:shd w:val="clear" w:color="auto" w:fill="FFFFFF"/>
        </w:rPr>
        <w:t>2022年度部门决算情况说明</w:t>
      </w:r>
    </w:p>
    <w:p>
      <w:pPr>
        <w:pStyle w:val="6"/>
        <w:widowControl/>
        <w:spacing w:before="450" w:beforeAutospacing="0" w:after="450" w:afterAutospacing="0" w:line="420" w:lineRule="atLeast"/>
        <w:ind w:firstLine="645"/>
        <w:rPr>
          <w:color w:val="auto"/>
          <w:sz w:val="32"/>
          <w:szCs w:val="32"/>
        </w:rPr>
      </w:pPr>
      <w:r>
        <w:rPr>
          <w:rFonts w:hint="eastAsia" w:ascii="黑体" w:hAnsi="宋体" w:eastAsia="黑体" w:cs="黑体"/>
          <w:color w:val="auto"/>
          <w:sz w:val="32"/>
          <w:szCs w:val="32"/>
          <w:shd w:val="clear" w:color="auto" w:fill="FFFFFF"/>
        </w:rPr>
        <w:t>一、2022年度收入支出决算总体情况</w:t>
      </w:r>
    </w:p>
    <w:p>
      <w:pPr>
        <w:pStyle w:val="6"/>
        <w:widowControl/>
        <w:spacing w:before="450" w:beforeAutospacing="0" w:after="450" w:afterAutospacing="0" w:line="420" w:lineRule="atLeast"/>
        <w:ind w:left="309" w:leftChars="147" w:firstLine="641" w:firstLineChars="207"/>
        <w:rPr>
          <w:rFonts w:hint="eastAsia" w:ascii="仿宋" w:hAnsi="仿宋" w:eastAsia="仿宋" w:cs="仿宋"/>
          <w:color w:val="auto"/>
          <w:sz w:val="31"/>
          <w:szCs w:val="31"/>
        </w:rPr>
      </w:pPr>
      <w:r>
        <w:rPr>
          <w:rFonts w:hint="eastAsia" w:ascii="仿宋" w:hAnsi="仿宋" w:eastAsia="仿宋" w:cs="仿宋"/>
          <w:color w:val="auto"/>
          <w:sz w:val="31"/>
          <w:szCs w:val="31"/>
          <w:shd w:val="clear" w:color="auto" w:fill="FFFFFF"/>
        </w:rPr>
        <w:t xml:space="preserve">（一）本部门2022年度总收入 </w:t>
      </w:r>
      <w:r>
        <w:rPr>
          <w:rFonts w:hint="eastAsia" w:ascii="仿宋" w:hAnsi="仿宋" w:eastAsia="仿宋" w:cs="仿宋"/>
          <w:color w:val="auto"/>
          <w:sz w:val="31"/>
          <w:szCs w:val="31"/>
        </w:rPr>
        <w:t>720.10</w:t>
      </w:r>
      <w:r>
        <w:rPr>
          <w:rFonts w:ascii="仿宋" w:hAnsi="仿宋" w:eastAsia="仿宋" w:cs="仿宋"/>
          <w:color w:val="auto"/>
          <w:sz w:val="31"/>
          <w:u w:color="auto"/>
        </w:rPr>
        <w:t>万元（其中本年收入  679.40万元），较2021年度决算数739.27万元， 减少19.17万元，下降2.59%。收入具体情况如下</w:t>
      </w:r>
      <w:r>
        <w:rPr>
          <w:rFonts w:hint="eastAsia" w:ascii="仿宋" w:hAnsi="仿宋" w:eastAsia="仿宋" w:cs="仿宋"/>
          <w:color w:val="auto"/>
          <w:sz w:val="31"/>
          <w:szCs w:val="31"/>
          <w:shd w:val="clear" w:color="auto" w:fill="FFFFFF"/>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highlight w:val="none"/>
          <w:lang w:val="en-US"/>
        </w:rPr>
      </w:pPr>
      <w:r>
        <w:rPr>
          <w:rFonts w:hint="eastAsia" w:ascii="仿宋" w:hAnsi="仿宋" w:eastAsia="仿宋" w:cs="仿宋"/>
          <w:color w:val="auto"/>
          <w:sz w:val="31"/>
          <w:szCs w:val="31"/>
          <w:shd w:val="clear" w:color="auto" w:fill="FFFFFF"/>
        </w:rPr>
        <w:t xml:space="preserve">1.一般公共预算财政拨款收入 </w:t>
      </w:r>
      <w:r>
        <w:rPr>
          <w:rFonts w:hint="eastAsia" w:ascii="仿宋" w:hAnsi="仿宋" w:eastAsia="仿宋" w:cs="仿宋"/>
          <w:color w:val="auto"/>
          <w:sz w:val="31"/>
          <w:szCs w:val="31"/>
        </w:rPr>
        <w:t>679.40</w:t>
      </w:r>
      <w:r>
        <w:rPr>
          <w:rFonts w:ascii="仿宋" w:hAnsi="仿宋" w:eastAsia="仿宋" w:cs="仿宋"/>
          <w:color w:val="auto"/>
          <w:sz w:val="31"/>
          <w:u w:color="auto"/>
        </w:rPr>
        <w:t>万元，为百色本级财政当年拨付的资金。较2021年度决算数 488.38万元，增加191.02万元，增长39.11%，</w:t>
      </w:r>
      <w:r>
        <w:rPr>
          <w:rFonts w:hint="eastAsia" w:ascii="仿宋" w:hAnsi="仿宋" w:eastAsia="仿宋" w:cs="仿宋"/>
          <w:color w:val="auto"/>
          <w:kern w:val="2"/>
          <w:sz w:val="31"/>
          <w:szCs w:val="31"/>
          <w:highlight w:val="none"/>
          <w:lang w:val="en-US" w:eastAsia="zh-CN" w:bidi="ar"/>
        </w:rPr>
        <w:t>主要原因：</w:t>
      </w:r>
      <w:r>
        <w:rPr>
          <w:rFonts w:hint="eastAsia" w:ascii="仿宋_GB2312" w:eastAsia="仿宋_GB2312" w:cs="仿宋_GB2312"/>
          <w:color w:val="auto"/>
          <w:kern w:val="0"/>
          <w:sz w:val="32"/>
          <w:szCs w:val="32"/>
        </w:rPr>
        <w:t>文物保护专项资金</w:t>
      </w:r>
      <w:r>
        <w:rPr>
          <w:rFonts w:hint="eastAsia" w:ascii="仿宋" w:hAnsi="仿宋" w:eastAsia="仿宋" w:cs="仿宋"/>
          <w:color w:val="auto"/>
          <w:kern w:val="2"/>
          <w:sz w:val="31"/>
          <w:szCs w:val="31"/>
          <w:highlight w:val="none"/>
          <w:lang w:val="en-US" w:eastAsia="zh-CN" w:bidi="ar"/>
        </w:rPr>
        <w:t>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highlight w:val="none"/>
          <w:lang w:val="en-US"/>
        </w:rPr>
      </w:pPr>
      <w:r>
        <w:rPr>
          <w:rFonts w:hint="eastAsia" w:ascii="仿宋" w:hAnsi="仿宋" w:eastAsia="仿宋" w:cs="仿宋"/>
          <w:color w:val="auto"/>
          <w:sz w:val="31"/>
          <w:szCs w:val="31"/>
          <w:shd w:val="clear" w:color="auto" w:fill="FFFFFF"/>
        </w:rPr>
        <w:t>2.</w:t>
      </w:r>
      <w:r>
        <w:rPr>
          <w:rFonts w:hint="eastAsia" w:ascii="仿宋" w:hAnsi="仿宋" w:eastAsia="仿宋" w:cs="仿宋"/>
          <w:color w:val="auto"/>
          <w:sz w:val="31"/>
          <w:szCs w:val="31"/>
        </w:rPr>
        <w:t xml:space="preserve">政府性基金预算财政拨款收入 </w:t>
      </w:r>
      <w:r>
        <w:rPr>
          <w:rFonts w:ascii="仿宋" w:hAnsi="仿宋" w:eastAsia="仿宋" w:cs="仿宋"/>
          <w:color w:val="auto"/>
          <w:sz w:val="31"/>
          <w:u w:color="auto"/>
        </w:rPr>
        <w:t>0.00万元，为百色本级财政当年拨付的资金。较2021年度决算数 0.00万元，增加0.00万元，增长0%，</w:t>
      </w:r>
      <w:r>
        <w:rPr>
          <w:rFonts w:hint="eastAsia" w:ascii="仿宋" w:hAnsi="仿宋" w:eastAsia="仿宋" w:cs="仿宋"/>
          <w:color w:val="auto"/>
          <w:kern w:val="2"/>
          <w:sz w:val="31"/>
          <w:szCs w:val="31"/>
          <w:highlight w:val="none"/>
          <w:lang w:val="en-US" w:eastAsia="zh-CN" w:bidi="ar"/>
        </w:rPr>
        <w:t>主要原因：本单位无此项收入。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highlight w:val="none"/>
          <w:lang w:val="en-US"/>
        </w:rPr>
      </w:pPr>
      <w:r>
        <w:rPr>
          <w:rFonts w:hint="eastAsia" w:ascii="仿宋" w:hAnsi="仿宋" w:eastAsia="仿宋" w:cs="仿宋"/>
          <w:color w:val="auto"/>
          <w:sz w:val="31"/>
          <w:szCs w:val="31"/>
          <w:shd w:val="clear" w:color="auto" w:fill="FFFFFF"/>
        </w:rPr>
        <w:t>3.</w:t>
      </w:r>
      <w:r>
        <w:rPr>
          <w:rFonts w:hint="eastAsia" w:ascii="仿宋" w:hAnsi="仿宋" w:eastAsia="仿宋" w:cs="仿宋"/>
          <w:color w:val="auto"/>
          <w:sz w:val="31"/>
          <w:szCs w:val="31"/>
        </w:rPr>
        <w:t xml:space="preserve">国有资本经营预算财政拨款收入 </w:t>
      </w:r>
      <w:r>
        <w:rPr>
          <w:rFonts w:ascii="仿宋" w:hAnsi="仿宋" w:eastAsia="仿宋" w:cs="仿宋"/>
          <w:color w:val="auto"/>
          <w:sz w:val="31"/>
          <w:u w:color="auto"/>
        </w:rPr>
        <w:t>0.00万元，为百色本级财政当年拨付的资金。较2021年度决算数0.00万元，增加0.00 万元，增长0%，</w:t>
      </w:r>
      <w:r>
        <w:rPr>
          <w:rFonts w:hint="eastAsia" w:ascii="仿宋" w:hAnsi="仿宋" w:eastAsia="仿宋" w:cs="仿宋"/>
          <w:color w:val="auto"/>
          <w:kern w:val="2"/>
          <w:sz w:val="31"/>
          <w:szCs w:val="31"/>
          <w:highlight w:val="none"/>
          <w:lang w:val="en-US" w:eastAsia="zh-CN" w:bidi="ar"/>
        </w:rPr>
        <w:t>主要原因：本单位无此项收入。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rPr>
      </w:pPr>
      <w:r>
        <w:rPr>
          <w:rFonts w:hint="eastAsia" w:ascii="仿宋" w:hAnsi="仿宋" w:eastAsia="仿宋" w:cs="仿宋"/>
          <w:color w:val="auto"/>
          <w:sz w:val="31"/>
          <w:szCs w:val="31"/>
          <w:shd w:val="clear" w:color="auto" w:fill="FFFFFF"/>
        </w:rPr>
        <w:t>4.</w:t>
      </w:r>
      <w:r>
        <w:rPr>
          <w:rFonts w:hint="eastAsia" w:ascii="仿宋" w:hAnsi="仿宋" w:eastAsia="仿宋" w:cs="仿宋"/>
          <w:color w:val="auto"/>
          <w:sz w:val="31"/>
          <w:szCs w:val="31"/>
        </w:rPr>
        <w:t xml:space="preserve">上级补助收入 </w:t>
      </w:r>
      <w:r>
        <w:rPr>
          <w:rFonts w:ascii="仿宋" w:hAnsi="仿宋" w:eastAsia="仿宋" w:cs="仿宋"/>
          <w:color w:val="auto"/>
          <w:sz w:val="31"/>
          <w:u w:color="auto"/>
        </w:rPr>
        <w:t>0.00 万元，为上级部门当年拨付的资金。较2021年度决算数0.00万元，增加0.00 万元，增长0%，</w:t>
      </w:r>
      <w:r>
        <w:rPr>
          <w:rFonts w:hint="eastAsia" w:ascii="仿宋" w:hAnsi="仿宋" w:eastAsia="仿宋" w:cs="仿宋"/>
          <w:color w:val="auto"/>
          <w:kern w:val="2"/>
          <w:sz w:val="31"/>
          <w:szCs w:val="31"/>
          <w:highlight w:val="none"/>
          <w:lang w:val="en-US" w:eastAsia="zh-CN" w:bidi="ar"/>
        </w:rPr>
        <w:t>主要原因：本单位无此项收入。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highlight w:val="none"/>
          <w:lang w:val="en-US"/>
        </w:rPr>
      </w:pPr>
      <w:r>
        <w:rPr>
          <w:rFonts w:hint="eastAsia" w:ascii="仿宋" w:hAnsi="仿宋" w:eastAsia="仿宋" w:cs="仿宋"/>
          <w:color w:val="auto"/>
          <w:sz w:val="31"/>
          <w:szCs w:val="31"/>
          <w:shd w:val="clear" w:color="auto" w:fill="FFFFFF"/>
        </w:rPr>
        <w:t>5.</w:t>
      </w:r>
      <w:r>
        <w:rPr>
          <w:rFonts w:hint="eastAsia" w:ascii="仿宋" w:hAnsi="仿宋" w:eastAsia="仿宋" w:cs="仿宋"/>
          <w:color w:val="auto"/>
          <w:sz w:val="31"/>
          <w:szCs w:val="31"/>
        </w:rPr>
        <w:t>事业收入</w:t>
      </w:r>
      <w:r>
        <w:rPr>
          <w:rFonts w:ascii="仿宋" w:hAnsi="仿宋" w:eastAsia="仿宋" w:cs="仿宋"/>
          <w:color w:val="auto"/>
          <w:sz w:val="31"/>
          <w:u w:color="auto"/>
        </w:rPr>
        <w:t>0.00万元，为事业单位开展业务活动取得的收入。较2021年度决算数 0.00万元，增加0.00 万元，增长0%，</w:t>
      </w:r>
      <w:r>
        <w:rPr>
          <w:rFonts w:hint="eastAsia" w:ascii="仿宋" w:hAnsi="仿宋" w:eastAsia="仿宋" w:cs="仿宋"/>
          <w:color w:val="auto"/>
          <w:kern w:val="2"/>
          <w:sz w:val="31"/>
          <w:szCs w:val="31"/>
          <w:highlight w:val="none"/>
          <w:lang w:val="en-US" w:eastAsia="zh-CN" w:bidi="ar"/>
        </w:rPr>
        <w:t>主要原因：本单位无此项收入。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highlight w:val="none"/>
          <w:lang w:val="en-US"/>
        </w:rPr>
      </w:pPr>
      <w:r>
        <w:rPr>
          <w:rFonts w:hint="eastAsia" w:ascii="仿宋" w:hAnsi="仿宋" w:eastAsia="仿宋" w:cs="仿宋"/>
          <w:color w:val="auto"/>
          <w:sz w:val="31"/>
          <w:szCs w:val="31"/>
          <w:shd w:val="clear" w:color="auto" w:fill="FFFFFF"/>
        </w:rPr>
        <w:t>6.</w:t>
      </w:r>
      <w:r>
        <w:rPr>
          <w:rFonts w:hint="eastAsia" w:ascii="仿宋" w:hAnsi="仿宋" w:eastAsia="仿宋" w:cs="仿宋"/>
          <w:color w:val="auto"/>
          <w:sz w:val="31"/>
          <w:szCs w:val="31"/>
        </w:rPr>
        <w:t>经营收入</w:t>
      </w:r>
      <w:r>
        <w:rPr>
          <w:rFonts w:ascii="仿宋" w:hAnsi="仿宋" w:eastAsia="仿宋" w:cs="仿宋"/>
          <w:color w:val="auto"/>
          <w:sz w:val="31"/>
          <w:u w:color="auto"/>
        </w:rPr>
        <w:t>0.00万，为事业单位在业务活动之外开展非独立核算经营活动取得的收入。较2021年度决算数0.00万元，增加0.00万元，增长0%，</w:t>
      </w:r>
      <w:r>
        <w:rPr>
          <w:rFonts w:hint="eastAsia" w:ascii="仿宋" w:hAnsi="仿宋" w:eastAsia="仿宋" w:cs="仿宋"/>
          <w:color w:val="auto"/>
          <w:kern w:val="2"/>
          <w:sz w:val="31"/>
          <w:szCs w:val="31"/>
          <w:highlight w:val="none"/>
          <w:lang w:val="en-US" w:eastAsia="zh-CN" w:bidi="ar"/>
        </w:rPr>
        <w:t>主要原因：本单位无此项收入。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highlight w:val="none"/>
          <w:lang w:val="en-US"/>
        </w:rPr>
      </w:pPr>
      <w:r>
        <w:rPr>
          <w:rFonts w:hint="eastAsia" w:ascii="仿宋" w:hAnsi="仿宋" w:eastAsia="仿宋" w:cs="仿宋"/>
          <w:color w:val="auto"/>
          <w:sz w:val="31"/>
          <w:szCs w:val="31"/>
          <w:shd w:val="clear" w:color="auto" w:fill="FFFFFF"/>
        </w:rPr>
        <w:t>7.</w:t>
      </w:r>
      <w:r>
        <w:rPr>
          <w:rFonts w:hint="eastAsia" w:ascii="仿宋" w:hAnsi="仿宋" w:eastAsia="仿宋" w:cs="仿宋"/>
          <w:color w:val="auto"/>
          <w:sz w:val="31"/>
          <w:szCs w:val="31"/>
        </w:rPr>
        <w:t>附属单位上缴收入</w:t>
      </w:r>
      <w:r>
        <w:rPr>
          <w:rFonts w:ascii="仿宋" w:hAnsi="仿宋" w:eastAsia="仿宋" w:cs="仿宋"/>
          <w:color w:val="auto"/>
          <w:sz w:val="31"/>
          <w:u w:color="auto"/>
        </w:rPr>
        <w:t>0.00万元。较2021年度决算数0.00万元，增加0.00 万元，增长0%，</w:t>
      </w:r>
      <w:r>
        <w:rPr>
          <w:rFonts w:hint="eastAsia" w:ascii="仿宋" w:hAnsi="仿宋" w:eastAsia="仿宋" w:cs="仿宋"/>
          <w:color w:val="auto"/>
          <w:kern w:val="2"/>
          <w:sz w:val="31"/>
          <w:szCs w:val="31"/>
          <w:highlight w:val="none"/>
          <w:lang w:val="en-US" w:eastAsia="zh-CN" w:bidi="ar"/>
        </w:rPr>
        <w:t>主要原因：本单位无此项收入。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highlight w:val="none"/>
          <w:lang w:val="en-US"/>
        </w:rPr>
      </w:pPr>
      <w:r>
        <w:rPr>
          <w:rFonts w:hint="eastAsia" w:ascii="仿宋" w:hAnsi="仿宋" w:eastAsia="仿宋" w:cs="仿宋"/>
          <w:color w:val="auto"/>
          <w:sz w:val="31"/>
          <w:szCs w:val="31"/>
          <w:shd w:val="clear" w:color="auto" w:fill="FFFFFF"/>
        </w:rPr>
        <w:t>8.</w:t>
      </w:r>
      <w:r>
        <w:rPr>
          <w:rFonts w:hint="eastAsia" w:ascii="仿宋" w:hAnsi="仿宋" w:eastAsia="仿宋" w:cs="仿宋"/>
          <w:color w:val="auto"/>
          <w:sz w:val="31"/>
          <w:szCs w:val="31"/>
        </w:rPr>
        <w:t>其他收入</w:t>
      </w:r>
      <w:r>
        <w:rPr>
          <w:rFonts w:ascii="仿宋" w:hAnsi="仿宋" w:eastAsia="仿宋" w:cs="仿宋"/>
          <w:color w:val="auto"/>
          <w:sz w:val="31"/>
          <w:u w:color="auto"/>
        </w:rPr>
        <w:t>0.00万元，为预算单位在“财政拨款收入”“事业收入”“经营收入”之外取得的收入。较2021年度决算数0.00万元，增加0.00万元，增长0%</w:t>
      </w:r>
      <w:r>
        <w:rPr>
          <w:rFonts w:hint="eastAsia" w:ascii="仿宋" w:hAnsi="仿宋" w:eastAsia="仿宋" w:cs="仿宋"/>
          <w:color w:val="auto"/>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主要原因：本单位无此项收入。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rPr>
      </w:pPr>
      <w:r>
        <w:rPr>
          <w:rFonts w:hint="eastAsia" w:ascii="仿宋" w:hAnsi="仿宋" w:eastAsia="仿宋" w:cs="仿宋"/>
          <w:color w:val="auto"/>
          <w:sz w:val="31"/>
          <w:szCs w:val="31"/>
          <w:shd w:val="clear" w:color="auto" w:fill="FFFFFF"/>
        </w:rPr>
        <w:t>9.使用非财政拨款结余</w:t>
      </w:r>
      <w:r>
        <w:rPr>
          <w:rFonts w:hint="eastAsia" w:ascii="仿宋" w:hAnsi="仿宋" w:eastAsia="仿宋" w:cs="仿宋"/>
          <w:color w:val="auto"/>
          <w:sz w:val="31"/>
          <w:szCs w:val="31"/>
        </w:rPr>
        <w:t>0.00</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kern w:val="2"/>
          <w:sz w:val="31"/>
          <w:szCs w:val="31"/>
          <w:highlight w:val="none"/>
          <w:lang w:val="en-US" w:eastAsia="zh-CN" w:bidi="ar"/>
        </w:rPr>
        <w:t>主要是</w:t>
      </w:r>
      <w:r>
        <w:rPr>
          <w:rFonts w:hint="eastAsia" w:ascii="仿宋_GB2312" w:eastAsia="仿宋_GB2312" w:cs="仿宋_GB2312"/>
          <w:color w:val="auto"/>
          <w:kern w:val="0"/>
          <w:sz w:val="32"/>
          <w:szCs w:val="32"/>
        </w:rPr>
        <w:t>单位历年滚存的非限定用途的非同级财政拨款结余资金，主要为非财政拨款结余扣除结余分配后滚存的金额</w:t>
      </w:r>
      <w:r>
        <w:rPr>
          <w:rFonts w:hint="eastAsia" w:ascii="仿宋_GB2312" w:eastAsia="仿宋_GB2312" w:cs="仿宋_GB2312"/>
          <w:color w:val="auto"/>
          <w:kern w:val="0"/>
          <w:sz w:val="32"/>
          <w:szCs w:val="32"/>
          <w:lang w:eastAsia="zh-CN"/>
        </w:rPr>
        <w:t>。</w:t>
      </w:r>
      <w:r>
        <w:rPr>
          <w:rFonts w:hint="eastAsia" w:ascii="仿宋" w:hAnsi="仿宋" w:eastAsia="仿宋" w:cs="仿宋"/>
          <w:color w:val="auto"/>
          <w:sz w:val="31"/>
          <w:szCs w:val="31"/>
          <w:shd w:val="clear" w:color="auto" w:fill="FFFFFF"/>
        </w:rPr>
        <w:t xml:space="preserve"> 较2021年度决算数</w:t>
      </w:r>
      <w:r>
        <w:rPr>
          <w:rFonts w:hint="eastAsia" w:ascii="仿宋" w:hAnsi="仿宋" w:eastAsia="仿宋" w:cs="仿宋"/>
          <w:color w:val="auto"/>
          <w:sz w:val="31"/>
          <w:szCs w:val="31"/>
        </w:rPr>
        <w:t>0.00</w:t>
      </w:r>
      <w:r>
        <w:rPr>
          <w:rFonts w:ascii="仿宋" w:hAnsi="仿宋" w:eastAsia="仿宋" w:cs="仿宋"/>
          <w:color w:val="auto"/>
          <w:sz w:val="31"/>
          <w:u w:color="auto"/>
        </w:rPr>
        <w:t>万元，增加0.00 万元，增长0%</w:t>
      </w:r>
      <w:r>
        <w:rPr>
          <w:rFonts w:hint="eastAsia" w:ascii="仿宋" w:hAnsi="仿宋" w:eastAsia="仿宋" w:cs="仿宋"/>
          <w:color w:val="auto"/>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w:t>
      </w:r>
      <w:r>
        <w:rPr>
          <w:rFonts w:hint="eastAsia" w:ascii="仿宋_GB2312" w:eastAsia="仿宋_GB2312" w:cs="仿宋_GB2312"/>
          <w:color w:val="auto"/>
          <w:kern w:val="0"/>
          <w:sz w:val="32"/>
          <w:szCs w:val="32"/>
          <w:lang w:val="en-US" w:eastAsia="zh-CN"/>
        </w:rPr>
        <w:t>本单位无非财政拨款结余</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highlight w:val="none"/>
          <w:lang w:val="en-US"/>
        </w:rPr>
      </w:pPr>
      <w:r>
        <w:rPr>
          <w:rFonts w:hint="eastAsia" w:ascii="仿宋" w:hAnsi="仿宋" w:eastAsia="仿宋" w:cs="仿宋"/>
          <w:color w:val="auto"/>
          <w:sz w:val="31"/>
          <w:szCs w:val="31"/>
          <w:shd w:val="clear" w:color="auto" w:fill="FFFFFF"/>
        </w:rPr>
        <w:t>10.年初结转和结余</w:t>
      </w:r>
      <w:r>
        <w:rPr>
          <w:rFonts w:hint="eastAsia" w:ascii="仿宋" w:hAnsi="仿宋" w:eastAsia="仿宋" w:cs="仿宋"/>
          <w:color w:val="auto"/>
          <w:sz w:val="31"/>
          <w:szCs w:val="31"/>
        </w:rPr>
        <w:t>40.70</w:t>
      </w:r>
      <w:r>
        <w:rPr>
          <w:rFonts w:hint="eastAsia" w:ascii="仿宋" w:hAnsi="仿宋" w:eastAsia="仿宋" w:cs="仿宋"/>
          <w:color w:val="auto"/>
          <w:sz w:val="31"/>
          <w:szCs w:val="31"/>
          <w:shd w:val="clear" w:color="auto" w:fill="FFFFFF"/>
        </w:rPr>
        <w:t>万元，为以前年度支出预算因客观条件变化未执行完毕、结转到本年度按有关规定继续使用的资金。较2021年度决算数</w:t>
      </w:r>
      <w:r>
        <w:rPr>
          <w:rFonts w:hint="eastAsia" w:ascii="仿宋" w:hAnsi="仿宋" w:eastAsia="仿宋" w:cs="仿宋"/>
          <w:color w:val="auto"/>
          <w:sz w:val="31"/>
          <w:szCs w:val="31"/>
        </w:rPr>
        <w:t>250.88</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rPr>
        <w:t>减少210.18</w:t>
      </w:r>
      <w:r>
        <w:rPr>
          <w:rFonts w:hint="eastAsia" w:ascii="仿宋" w:hAnsi="仿宋" w:eastAsia="仿宋" w:cs="仿宋"/>
          <w:color w:val="auto"/>
          <w:sz w:val="31"/>
          <w:szCs w:val="31"/>
          <w:shd w:val="clear" w:color="auto" w:fill="FFFFFF"/>
        </w:rPr>
        <w:t>万元，</w:t>
      </w:r>
      <w:r>
        <w:rPr>
          <w:rFonts w:ascii="仿宋" w:hAnsi="仿宋" w:eastAsia="仿宋" w:cs="仿宋"/>
          <w:color w:val="auto"/>
          <w:sz w:val="31"/>
          <w:u w:color="auto"/>
        </w:rPr>
        <w:t>下降83.78%，</w:t>
      </w:r>
      <w:r>
        <w:rPr>
          <w:rFonts w:hint="eastAsia" w:ascii="仿宋" w:hAnsi="仿宋" w:eastAsia="仿宋" w:cs="仿宋"/>
          <w:color w:val="auto"/>
          <w:kern w:val="2"/>
          <w:sz w:val="31"/>
          <w:szCs w:val="31"/>
          <w:highlight w:val="none"/>
          <w:lang w:val="en-US" w:eastAsia="zh-CN" w:bidi="ar"/>
        </w:rPr>
        <w:t>主要原因：项目经费结转结余减少。</w:t>
      </w:r>
    </w:p>
    <w:p>
      <w:pPr>
        <w:pStyle w:val="6"/>
        <w:widowControl/>
        <w:spacing w:before="450" w:beforeAutospacing="0" w:after="450" w:afterAutospacing="0" w:line="420" w:lineRule="atLeast"/>
        <w:ind w:firstLine="630"/>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（二）本部门2022年度总支出</w:t>
      </w:r>
      <w:r>
        <w:rPr>
          <w:rFonts w:hint="eastAsia" w:ascii="仿宋" w:hAnsi="仿宋" w:eastAsia="仿宋" w:cs="仿宋"/>
          <w:color w:val="auto"/>
          <w:sz w:val="31"/>
          <w:szCs w:val="31"/>
        </w:rPr>
        <w:t>720.10</w:t>
      </w:r>
      <w:r>
        <w:rPr>
          <w:rFonts w:hint="eastAsia" w:ascii="仿宋" w:hAnsi="仿宋" w:eastAsia="仿宋" w:cs="仿宋"/>
          <w:color w:val="auto"/>
          <w:sz w:val="31"/>
          <w:szCs w:val="31"/>
          <w:shd w:val="clear" w:color="auto" w:fill="FFFFFF"/>
        </w:rPr>
        <w:t>万元（其中本年支出</w:t>
      </w:r>
      <w:r>
        <w:rPr>
          <w:rFonts w:hint="eastAsia" w:ascii="仿宋" w:hAnsi="仿宋" w:eastAsia="仿宋" w:cs="仿宋"/>
          <w:color w:val="auto"/>
          <w:sz w:val="31"/>
          <w:szCs w:val="31"/>
        </w:rPr>
        <w:t>680.29</w:t>
      </w:r>
      <w:r>
        <w:rPr>
          <w:rFonts w:hint="eastAsia" w:ascii="仿宋" w:hAnsi="仿宋" w:eastAsia="仿宋" w:cs="仿宋"/>
          <w:color w:val="auto"/>
          <w:sz w:val="31"/>
          <w:szCs w:val="31"/>
          <w:shd w:val="clear" w:color="auto" w:fill="FFFFFF"/>
        </w:rPr>
        <w:t>万元），较2021年度决算数</w:t>
      </w:r>
      <w:r>
        <w:rPr>
          <w:rFonts w:hint="eastAsia" w:ascii="仿宋" w:hAnsi="仿宋" w:eastAsia="仿宋" w:cs="仿宋"/>
          <w:color w:val="auto"/>
          <w:sz w:val="31"/>
          <w:szCs w:val="31"/>
        </w:rPr>
        <w:t>739.27</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rPr>
        <w:t>减少19.17</w:t>
      </w:r>
      <w:r>
        <w:rPr>
          <w:rFonts w:hint="eastAsia" w:ascii="仿宋" w:hAnsi="仿宋" w:eastAsia="仿宋" w:cs="仿宋"/>
          <w:color w:val="auto"/>
          <w:sz w:val="31"/>
          <w:szCs w:val="31"/>
          <w:lang w:val="en-US" w:eastAsia="zh-CN"/>
        </w:rPr>
        <w:t>万元</w:t>
      </w:r>
      <w:r>
        <w:rPr>
          <w:rFonts w:hint="eastAsia" w:ascii="仿宋" w:hAnsi="仿宋" w:eastAsia="仿宋" w:cs="仿宋"/>
          <w:color w:val="auto"/>
          <w:sz w:val="31"/>
          <w:szCs w:val="31"/>
          <w:shd w:val="clear" w:color="auto" w:fill="FFFFFF"/>
        </w:rPr>
        <w:t>，</w:t>
      </w:r>
      <w:r>
        <w:rPr>
          <w:rFonts w:hint="eastAsia" w:ascii="仿宋" w:hAnsi="仿宋" w:eastAsia="仿宋" w:cs="仿宋"/>
          <w:color w:val="auto"/>
          <w:sz w:val="31"/>
          <w:szCs w:val="31"/>
        </w:rPr>
        <w:t>下降2.59%</w:t>
      </w:r>
      <w:r>
        <w:rPr>
          <w:rFonts w:hint="eastAsia" w:ascii="仿宋" w:hAnsi="仿宋" w:eastAsia="仿宋" w:cs="仿宋"/>
          <w:color w:val="auto"/>
          <w:sz w:val="31"/>
          <w:szCs w:val="31"/>
          <w:shd w:val="clear" w:color="auto" w:fill="FFFFFF"/>
        </w:rPr>
        <w:t>。支出具体情况如下：</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rPr>
        <w:t>1</w:t>
      </w:r>
      <w:r>
        <w:rPr>
          <w:rFonts w:ascii="仿宋" w:hAnsi="仿宋" w:eastAsia="仿宋" w:cs="仿宋"/>
          <w:color w:val="auto"/>
          <w:sz w:val="31"/>
          <w:u w:color="auto"/>
        </w:rPr>
        <w:t>.</w:t>
      </w:r>
      <w:r>
        <w:rPr>
          <w:rFonts w:hint="eastAsia" w:ascii="仿宋" w:hAnsi="仿宋" w:eastAsia="仿宋" w:cs="仿宋"/>
          <w:color w:val="auto"/>
          <w:sz w:val="31"/>
          <w:szCs w:val="31"/>
          <w:lang w:bidi="ar"/>
        </w:rPr>
        <w:t>文化旅游体育与传媒支出</w:t>
      </w:r>
      <w:r>
        <w:rPr>
          <w:rFonts w:hint="eastAsia" w:ascii="仿宋" w:hAnsi="仿宋" w:eastAsia="仿宋" w:cs="仿宋"/>
          <w:color w:val="auto"/>
          <w:sz w:val="31"/>
          <w:szCs w:val="31"/>
          <w:shd w:val="clear" w:color="auto" w:fill="FFFFFF"/>
        </w:rPr>
        <w:t>（类）</w:t>
      </w:r>
      <w:r>
        <w:rPr>
          <w:rFonts w:hint="eastAsia" w:ascii="仿宋" w:hAnsi="仿宋" w:eastAsia="仿宋" w:cs="仿宋"/>
          <w:color w:val="auto"/>
          <w:sz w:val="31"/>
          <w:szCs w:val="31"/>
          <w:lang w:bidi="ar"/>
        </w:rPr>
        <w:t>654.05</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highlight w:val="none"/>
        </w:rPr>
        <w:t>主要用于</w:t>
      </w:r>
      <w:r>
        <w:rPr>
          <w:rFonts w:hint="eastAsia" w:ascii="仿宋" w:hAnsi="仿宋" w:eastAsia="仿宋" w:cs="仿宋"/>
          <w:color w:val="auto"/>
          <w:sz w:val="31"/>
          <w:szCs w:val="31"/>
          <w:highlight w:val="none"/>
          <w:lang w:eastAsia="zh-CN"/>
        </w:rPr>
        <w:t>：</w:t>
      </w:r>
      <w:r>
        <w:rPr>
          <w:rFonts w:hint="eastAsia" w:ascii="仿宋_GB2312" w:eastAsia="仿宋_GB2312" w:cs="仿宋_GB2312"/>
          <w:color w:val="auto"/>
          <w:kern w:val="0"/>
          <w:sz w:val="32"/>
          <w:szCs w:val="32"/>
        </w:rPr>
        <w:t>国家文物保护专项资金</w:t>
      </w:r>
      <w:r>
        <w:rPr>
          <w:rFonts w:hint="eastAsia" w:ascii="仿宋_GB2312" w:eastAsia="仿宋_GB2312" w:cs="仿宋_GB2312"/>
          <w:color w:val="auto"/>
          <w:kern w:val="0"/>
          <w:sz w:val="32"/>
          <w:szCs w:val="32"/>
          <w:lang w:val="en-US" w:eastAsia="zh-CN"/>
        </w:rPr>
        <w:t>支出</w:t>
      </w:r>
      <w:r>
        <w:rPr>
          <w:rFonts w:hint="eastAsia" w:ascii="仿宋" w:hAnsi="仿宋" w:eastAsia="仿宋" w:cs="仿宋"/>
          <w:color w:val="auto"/>
          <w:sz w:val="31"/>
          <w:szCs w:val="31"/>
          <w:shd w:val="clear" w:color="auto" w:fill="FFFFFF"/>
        </w:rPr>
        <w:t xml:space="preserve">，较2021年决算 </w:t>
      </w:r>
      <w:r>
        <w:rPr>
          <w:rFonts w:hint="eastAsia" w:ascii="仿宋" w:hAnsi="仿宋" w:eastAsia="仿宋" w:cs="仿宋"/>
          <w:color w:val="auto"/>
          <w:sz w:val="31"/>
          <w:szCs w:val="31"/>
          <w:lang w:bidi="ar"/>
        </w:rPr>
        <w:t>675.59</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lang w:bidi="ar"/>
        </w:rPr>
        <w:t>减少21.54</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lang w:bidi="ar"/>
        </w:rPr>
        <w:t>下降3.19%</w:t>
      </w:r>
      <w:r>
        <w:rPr>
          <w:rFonts w:hint="eastAsia" w:ascii="仿宋" w:hAnsi="仿宋" w:eastAsia="仿宋" w:cs="仿宋"/>
          <w:color w:val="auto"/>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主要原因是：</w:t>
      </w:r>
      <w:r>
        <w:rPr>
          <w:rFonts w:hint="eastAsia" w:ascii="仿宋_GB2312" w:eastAsia="仿宋_GB2312" w:cs="仿宋_GB2312"/>
          <w:color w:val="auto"/>
          <w:kern w:val="0"/>
          <w:sz w:val="32"/>
          <w:szCs w:val="32"/>
        </w:rPr>
        <w:t>文物保护专项资金</w:t>
      </w:r>
      <w:r>
        <w:rPr>
          <w:rFonts w:hint="eastAsia" w:ascii="仿宋_GB2312" w:eastAsia="仿宋_GB2312" w:cs="仿宋_GB2312"/>
          <w:color w:val="auto"/>
          <w:kern w:val="0"/>
          <w:sz w:val="32"/>
          <w:szCs w:val="32"/>
          <w:lang w:val="en-US" w:eastAsia="zh-CN"/>
        </w:rPr>
        <w:t>支出减少</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rPr>
        <w:t>2</w:t>
      </w:r>
      <w:r>
        <w:rPr>
          <w:rFonts w:ascii="仿宋" w:hAnsi="仿宋" w:eastAsia="仿宋" w:cs="仿宋"/>
          <w:color w:val="auto"/>
          <w:sz w:val="31"/>
          <w:u w:color="auto"/>
        </w:rPr>
        <w:t>.</w:t>
      </w:r>
      <w:r>
        <w:rPr>
          <w:rFonts w:hint="eastAsia" w:ascii="仿宋" w:hAnsi="仿宋" w:eastAsia="仿宋" w:cs="仿宋"/>
          <w:color w:val="auto"/>
          <w:sz w:val="31"/>
          <w:szCs w:val="31"/>
          <w:lang w:bidi="ar"/>
        </w:rPr>
        <w:t>社会保障和就业支出</w:t>
      </w:r>
      <w:r>
        <w:rPr>
          <w:rFonts w:hint="eastAsia" w:ascii="仿宋" w:hAnsi="仿宋" w:eastAsia="仿宋" w:cs="仿宋"/>
          <w:color w:val="auto"/>
          <w:sz w:val="31"/>
          <w:szCs w:val="31"/>
          <w:shd w:val="clear" w:color="auto" w:fill="FFFFFF"/>
        </w:rPr>
        <w:t>（类）</w:t>
      </w:r>
      <w:r>
        <w:rPr>
          <w:rFonts w:hint="eastAsia" w:ascii="仿宋" w:hAnsi="仿宋" w:eastAsia="仿宋" w:cs="仿宋"/>
          <w:color w:val="auto"/>
          <w:sz w:val="31"/>
          <w:szCs w:val="31"/>
          <w:lang w:bidi="ar"/>
        </w:rPr>
        <w:t>14.49</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highlight w:val="none"/>
        </w:rPr>
        <w:t>主要用于</w:t>
      </w:r>
      <w:r>
        <w:rPr>
          <w:rFonts w:hint="eastAsia" w:ascii="仿宋" w:hAnsi="仿宋" w:eastAsia="仿宋" w:cs="仿宋"/>
          <w:color w:val="auto"/>
          <w:sz w:val="31"/>
          <w:szCs w:val="31"/>
          <w:highlight w:val="none"/>
          <w:lang w:eastAsia="zh-CN"/>
        </w:rPr>
        <w:t>：</w:t>
      </w:r>
      <w:r>
        <w:rPr>
          <w:rFonts w:hint="eastAsia" w:ascii="仿宋" w:hAnsi="仿宋" w:eastAsia="仿宋" w:cs="仿宋"/>
          <w:color w:val="auto"/>
          <w:sz w:val="31"/>
          <w:szCs w:val="31"/>
          <w:highlight w:val="none"/>
          <w:lang w:val="en-US" w:eastAsia="zh-CN"/>
        </w:rPr>
        <w:t>机关事业单位基本养老保险缴费支出</w:t>
      </w:r>
      <w:r>
        <w:rPr>
          <w:rFonts w:hint="eastAsia" w:ascii="仿宋" w:hAnsi="仿宋" w:eastAsia="仿宋" w:cs="仿宋"/>
          <w:color w:val="auto"/>
          <w:sz w:val="31"/>
          <w:szCs w:val="31"/>
          <w:shd w:val="clear" w:color="auto" w:fill="FFFFFF"/>
        </w:rPr>
        <w:t xml:space="preserve">，较2021年决算 </w:t>
      </w:r>
      <w:r>
        <w:rPr>
          <w:rFonts w:hint="eastAsia" w:ascii="仿宋" w:hAnsi="仿宋" w:eastAsia="仿宋" w:cs="仿宋"/>
          <w:color w:val="auto"/>
          <w:sz w:val="31"/>
          <w:szCs w:val="31"/>
          <w:lang w:bidi="ar"/>
        </w:rPr>
        <w:t>11.38</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lang w:bidi="ar"/>
        </w:rPr>
        <w:t>增加3.11</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lang w:bidi="ar"/>
        </w:rPr>
        <w:t>增长27.33%</w:t>
      </w:r>
      <w:r>
        <w:rPr>
          <w:rFonts w:hint="eastAsia" w:ascii="仿宋" w:hAnsi="仿宋" w:eastAsia="仿宋" w:cs="仿宋"/>
          <w:color w:val="auto"/>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主要原因是：机关事业单位基本养老保险缴费基数调整。</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rPr>
        <w:t>3</w:t>
      </w:r>
      <w:r>
        <w:rPr>
          <w:rFonts w:ascii="仿宋" w:hAnsi="仿宋" w:eastAsia="仿宋" w:cs="仿宋"/>
          <w:color w:val="auto"/>
          <w:sz w:val="31"/>
          <w:u w:color="auto"/>
        </w:rPr>
        <w:t>.</w:t>
      </w:r>
      <w:r>
        <w:rPr>
          <w:rFonts w:hint="eastAsia" w:ascii="仿宋" w:hAnsi="仿宋" w:eastAsia="仿宋" w:cs="仿宋"/>
          <w:color w:val="auto"/>
          <w:sz w:val="31"/>
          <w:szCs w:val="31"/>
          <w:lang w:bidi="ar"/>
        </w:rPr>
        <w:t>卫生健康支出</w:t>
      </w:r>
      <w:r>
        <w:rPr>
          <w:rFonts w:hint="eastAsia" w:ascii="仿宋" w:hAnsi="仿宋" w:eastAsia="仿宋" w:cs="仿宋"/>
          <w:color w:val="auto"/>
          <w:sz w:val="31"/>
          <w:szCs w:val="31"/>
          <w:shd w:val="clear" w:color="auto" w:fill="FFFFFF"/>
        </w:rPr>
        <w:t>（类）</w:t>
      </w:r>
      <w:r>
        <w:rPr>
          <w:rFonts w:hint="eastAsia" w:ascii="仿宋" w:hAnsi="仿宋" w:eastAsia="仿宋" w:cs="仿宋"/>
          <w:color w:val="auto"/>
          <w:sz w:val="31"/>
          <w:szCs w:val="31"/>
          <w:lang w:bidi="ar"/>
        </w:rPr>
        <w:t>3.16</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highlight w:val="none"/>
        </w:rPr>
        <w:t>主要用于</w:t>
      </w:r>
      <w:r>
        <w:rPr>
          <w:rFonts w:hint="eastAsia" w:ascii="仿宋" w:hAnsi="仿宋" w:eastAsia="仿宋" w:cs="仿宋"/>
          <w:color w:val="auto"/>
          <w:sz w:val="31"/>
          <w:szCs w:val="31"/>
          <w:highlight w:val="none"/>
          <w:lang w:eastAsia="zh-CN"/>
        </w:rPr>
        <w:t>：</w:t>
      </w:r>
      <w:r>
        <w:rPr>
          <w:rFonts w:hint="eastAsia" w:ascii="仿宋" w:hAnsi="仿宋" w:eastAsia="仿宋" w:cs="仿宋"/>
          <w:color w:val="auto"/>
          <w:sz w:val="31"/>
          <w:szCs w:val="31"/>
          <w:highlight w:val="none"/>
          <w:lang w:val="en-US" w:eastAsia="zh-CN"/>
        </w:rPr>
        <w:t>事业单位医疗保险缴费支出</w:t>
      </w:r>
      <w:r>
        <w:rPr>
          <w:rFonts w:hint="eastAsia" w:ascii="仿宋" w:hAnsi="仿宋" w:eastAsia="仿宋" w:cs="仿宋"/>
          <w:color w:val="auto"/>
          <w:sz w:val="31"/>
          <w:szCs w:val="31"/>
          <w:shd w:val="clear" w:color="auto" w:fill="FFFFFF"/>
        </w:rPr>
        <w:t xml:space="preserve">，较2021年决算 </w:t>
      </w:r>
      <w:r>
        <w:rPr>
          <w:rFonts w:hint="eastAsia" w:ascii="仿宋" w:hAnsi="仿宋" w:eastAsia="仿宋" w:cs="仿宋"/>
          <w:color w:val="auto"/>
          <w:sz w:val="31"/>
          <w:szCs w:val="31"/>
          <w:lang w:bidi="ar"/>
        </w:rPr>
        <w:t>3.25</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lang w:bidi="ar"/>
        </w:rPr>
        <w:t>减少0.09</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lang w:bidi="ar"/>
        </w:rPr>
        <w:t>下降2.77%</w:t>
      </w:r>
      <w:r>
        <w:rPr>
          <w:rFonts w:hint="eastAsia" w:ascii="仿宋" w:hAnsi="仿宋" w:eastAsia="仿宋" w:cs="仿宋"/>
          <w:color w:val="auto"/>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主要原因是：</w:t>
      </w:r>
      <w:r>
        <w:rPr>
          <w:rFonts w:hint="eastAsia" w:ascii="仿宋" w:hAnsi="仿宋" w:eastAsia="仿宋" w:cs="仿宋"/>
          <w:color w:val="auto"/>
          <w:sz w:val="31"/>
          <w:szCs w:val="31"/>
          <w:highlight w:val="none"/>
          <w:lang w:val="en-US" w:eastAsia="zh-CN"/>
        </w:rPr>
        <w:t>事业单位医疗保险缴费基数调整</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rPr>
        <w:t>4</w:t>
      </w:r>
      <w:r>
        <w:rPr>
          <w:rFonts w:ascii="仿宋" w:hAnsi="仿宋" w:eastAsia="仿宋" w:cs="仿宋"/>
          <w:color w:val="auto"/>
          <w:sz w:val="31"/>
          <w:u w:color="auto"/>
        </w:rPr>
        <w:t>.</w:t>
      </w:r>
      <w:r>
        <w:rPr>
          <w:rFonts w:hint="eastAsia" w:ascii="仿宋" w:hAnsi="仿宋" w:eastAsia="仿宋" w:cs="仿宋"/>
          <w:color w:val="auto"/>
          <w:sz w:val="31"/>
          <w:szCs w:val="31"/>
          <w:lang w:bidi="ar"/>
        </w:rPr>
        <w:t>住房保障支出</w:t>
      </w:r>
      <w:r>
        <w:rPr>
          <w:rFonts w:hint="eastAsia" w:ascii="仿宋" w:hAnsi="仿宋" w:eastAsia="仿宋" w:cs="仿宋"/>
          <w:color w:val="auto"/>
          <w:sz w:val="31"/>
          <w:szCs w:val="31"/>
          <w:shd w:val="clear" w:color="auto" w:fill="FFFFFF"/>
        </w:rPr>
        <w:t>（类）</w:t>
      </w:r>
      <w:r>
        <w:rPr>
          <w:rFonts w:hint="eastAsia" w:ascii="仿宋" w:hAnsi="仿宋" w:eastAsia="仿宋" w:cs="仿宋"/>
          <w:color w:val="auto"/>
          <w:sz w:val="31"/>
          <w:szCs w:val="31"/>
          <w:lang w:bidi="ar"/>
        </w:rPr>
        <w:t>8.58</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highlight w:val="none"/>
        </w:rPr>
        <w:t>主要用于</w:t>
      </w:r>
      <w:r>
        <w:rPr>
          <w:rFonts w:hint="eastAsia" w:ascii="仿宋" w:hAnsi="仿宋" w:eastAsia="仿宋" w:cs="仿宋"/>
          <w:color w:val="auto"/>
          <w:sz w:val="31"/>
          <w:szCs w:val="31"/>
          <w:highlight w:val="none"/>
          <w:lang w:eastAsia="zh-CN"/>
        </w:rPr>
        <w:t>：</w:t>
      </w:r>
      <w:r>
        <w:rPr>
          <w:rFonts w:hint="eastAsia" w:ascii="仿宋" w:hAnsi="仿宋" w:eastAsia="仿宋" w:cs="仿宋"/>
          <w:color w:val="auto"/>
          <w:sz w:val="31"/>
          <w:szCs w:val="31"/>
          <w:highlight w:val="none"/>
          <w:lang w:val="en-US" w:eastAsia="zh-CN"/>
        </w:rPr>
        <w:t>住房公积金缴费</w:t>
      </w:r>
      <w:r>
        <w:rPr>
          <w:rFonts w:hint="eastAsia" w:ascii="仿宋" w:hAnsi="仿宋" w:eastAsia="仿宋" w:cs="仿宋"/>
          <w:color w:val="auto"/>
          <w:sz w:val="31"/>
          <w:szCs w:val="31"/>
          <w:shd w:val="clear" w:color="auto" w:fill="FFFFFF"/>
        </w:rPr>
        <w:t xml:space="preserve">，较2021年决算 </w:t>
      </w:r>
      <w:r>
        <w:rPr>
          <w:rFonts w:hint="eastAsia" w:ascii="仿宋" w:hAnsi="仿宋" w:eastAsia="仿宋" w:cs="仿宋"/>
          <w:color w:val="auto"/>
          <w:sz w:val="31"/>
          <w:szCs w:val="31"/>
          <w:lang w:bidi="ar"/>
        </w:rPr>
        <w:t>8.35</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lang w:bidi="ar"/>
        </w:rPr>
        <w:t>增加0.23</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lang w:bidi="ar"/>
        </w:rPr>
        <w:t>增长2.75%</w:t>
      </w:r>
      <w:r>
        <w:rPr>
          <w:rFonts w:hint="eastAsia" w:ascii="仿宋" w:hAnsi="仿宋" w:eastAsia="仿宋" w:cs="仿宋"/>
          <w:color w:val="auto"/>
          <w:sz w:val="31"/>
          <w:szCs w:val="31"/>
          <w:shd w:val="clear" w:color="auto" w:fill="FFFFFF"/>
        </w:rPr>
        <w:t>，</w:t>
      </w:r>
      <w:r>
        <w:rPr>
          <w:rFonts w:hint="eastAsia" w:ascii="仿宋" w:hAnsi="仿宋" w:eastAsia="仿宋" w:cs="仿宋"/>
          <w:color w:val="auto"/>
          <w:kern w:val="2"/>
          <w:sz w:val="31"/>
          <w:szCs w:val="31"/>
          <w:highlight w:val="none"/>
          <w:lang w:val="en-US" w:eastAsia="zh-CN" w:bidi="ar"/>
        </w:rPr>
        <w:t>主要原因是：住房公积金缴费基数调整。</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结余分配</w:t>
      </w:r>
      <w:r>
        <w:rPr>
          <w:rFonts w:ascii="仿宋" w:hAnsi="仿宋" w:eastAsia="仿宋" w:cs="仿宋"/>
          <w:color w:val="auto"/>
          <w:sz w:val="31"/>
          <w:u w:color="auto"/>
        </w:rPr>
        <w:t>0.00万元，为事业单位按规定提取的专用结余、缴纳所得税和转入非财政拨款结余等。较2021年决算0.00万元增加0.00 万元，增长0%，</w:t>
      </w:r>
      <w:r>
        <w:rPr>
          <w:rFonts w:hint="eastAsia" w:ascii="仿宋" w:hAnsi="仿宋" w:eastAsia="仿宋" w:cs="仿宋"/>
          <w:color w:val="auto"/>
          <w:kern w:val="2"/>
          <w:sz w:val="31"/>
          <w:szCs w:val="31"/>
          <w:highlight w:val="none"/>
          <w:lang w:val="en-US" w:eastAsia="zh-CN" w:bidi="ar"/>
        </w:rPr>
        <w:t>主要原因是：本单位无此项支出。</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年末结转和结余</w:t>
      </w:r>
      <w:r>
        <w:rPr>
          <w:rFonts w:ascii="仿宋" w:hAnsi="仿宋" w:eastAsia="仿宋" w:cs="仿宋"/>
          <w:color w:val="auto"/>
          <w:sz w:val="31"/>
          <w:u w:color="auto"/>
        </w:rPr>
        <w:t>39.81万元，为本年度或以前年度预算安排、因客观条件发生变化无法按原计划实施，需要延迟到以后年度按有关规定继续使用的资金。较2021年决算40.70万元减少0.89 万元，下降2.19%，</w:t>
      </w:r>
      <w:r>
        <w:rPr>
          <w:rFonts w:hint="eastAsia" w:ascii="仿宋" w:hAnsi="仿宋" w:eastAsia="仿宋" w:cs="仿宋"/>
          <w:color w:val="auto"/>
          <w:kern w:val="2"/>
          <w:sz w:val="31"/>
          <w:szCs w:val="31"/>
          <w:highlight w:val="none"/>
          <w:lang w:val="en-US" w:eastAsia="zh-CN" w:bidi="ar"/>
        </w:rPr>
        <w:t>主要原因是：</w:t>
      </w:r>
      <w:r>
        <w:rPr>
          <w:rFonts w:hint="eastAsia" w:ascii="仿宋_GB2312" w:eastAsia="仿宋_GB2312" w:cs="仿宋_GB2312"/>
          <w:color w:val="auto"/>
          <w:kern w:val="0"/>
          <w:sz w:val="32"/>
          <w:szCs w:val="32"/>
          <w:lang w:val="en-US" w:eastAsia="zh-CN"/>
        </w:rPr>
        <w:t>项目经费已列支</w:t>
      </w:r>
      <w:r>
        <w:rPr>
          <w:rFonts w:hint="eastAsia" w:ascii="仿宋" w:hAnsi="仿宋" w:eastAsia="仿宋" w:cs="仿宋"/>
          <w:color w:val="auto"/>
          <w:kern w:val="2"/>
          <w:sz w:val="31"/>
          <w:szCs w:val="31"/>
          <w:highlight w:val="none"/>
          <w:lang w:val="en-US" w:eastAsia="zh-CN" w:bidi="ar"/>
        </w:rPr>
        <w:t>。</w:t>
      </w:r>
    </w:p>
    <w:p>
      <w:pPr>
        <w:pStyle w:val="6"/>
        <w:widowControl/>
        <w:spacing w:before="450" w:beforeAutospacing="0" w:after="450" w:afterAutospacing="0" w:line="420" w:lineRule="atLeast"/>
        <w:ind w:firstLine="645"/>
        <w:rPr>
          <w:rFonts w:ascii="仿宋_GB2312" w:hAnsi="微软雅黑" w:eastAsia="仿宋_GB2312" w:cs="仿宋_GB2312"/>
          <w:color w:val="auto"/>
          <w:sz w:val="31"/>
          <w:szCs w:val="31"/>
          <w:u w:val="single"/>
          <w:shd w:val="clear" w:color="auto" w:fill="FFFFFF"/>
        </w:rPr>
      </w:pPr>
      <w:r>
        <w:rPr>
          <w:rFonts w:hint="eastAsia" w:ascii="黑体" w:hAnsi="宋体" w:eastAsia="黑体" w:cs="黑体"/>
          <w:color w:val="auto"/>
          <w:sz w:val="32"/>
          <w:szCs w:val="32"/>
          <w:shd w:val="clear" w:color="auto" w:fill="FFFFFF"/>
        </w:rPr>
        <w:t>二、2022年度一般公共预算财政拨款支出决算情况</w:t>
      </w:r>
    </w:p>
    <w:p>
      <w:pPr>
        <w:pStyle w:val="6"/>
        <w:widowControl/>
        <w:spacing w:before="450" w:beforeAutospacing="0" w:after="450" w:afterAutospacing="0" w:line="420" w:lineRule="atLeast"/>
        <w:ind w:left="309" w:leftChars="147"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u w:val="single"/>
          <w:shd w:val="clear" w:color="auto" w:fill="FFFFFF"/>
        </w:rPr>
        <w:t>百色起义革命旧址管理处</w:t>
      </w:r>
      <w:r>
        <w:rPr>
          <w:rFonts w:hint="eastAsia" w:ascii="仿宋" w:hAnsi="仿宋" w:eastAsia="仿宋" w:cs="仿宋"/>
          <w:color w:val="auto"/>
          <w:sz w:val="31"/>
          <w:szCs w:val="31"/>
          <w:shd w:val="clear" w:color="auto" w:fill="FFFFFF"/>
        </w:rPr>
        <w:t>2022年度一般公共预算财政拨款支出</w:t>
      </w:r>
      <w:r>
        <w:rPr>
          <w:rFonts w:hint="eastAsia" w:ascii="仿宋" w:hAnsi="仿宋" w:eastAsia="仿宋" w:cs="仿宋"/>
          <w:color w:val="auto"/>
          <w:sz w:val="31"/>
          <w:szCs w:val="31"/>
        </w:rPr>
        <w:t>679.40</w:t>
      </w:r>
      <w:r>
        <w:rPr>
          <w:rFonts w:hint="eastAsia" w:ascii="仿宋" w:hAnsi="仿宋" w:eastAsia="仿宋" w:cs="仿宋"/>
          <w:color w:val="auto"/>
          <w:sz w:val="31"/>
          <w:szCs w:val="31"/>
          <w:shd w:val="clear" w:color="auto" w:fill="FFFFFF"/>
        </w:rPr>
        <w:t>万元，较2021年度决算数</w:t>
      </w:r>
      <w:r>
        <w:rPr>
          <w:rFonts w:hint="eastAsia" w:ascii="仿宋" w:hAnsi="仿宋" w:eastAsia="仿宋" w:cs="仿宋"/>
          <w:color w:val="auto"/>
          <w:sz w:val="31"/>
          <w:szCs w:val="31"/>
          <w:highlight w:val="none"/>
        </w:rPr>
        <w:t>688.55</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rPr>
        <w:t>减少9.15</w:t>
      </w:r>
      <w:r>
        <w:rPr>
          <w:rFonts w:hint="eastAsia" w:ascii="仿宋" w:hAnsi="仿宋" w:eastAsia="仿宋" w:cs="仿宋"/>
          <w:color w:val="auto"/>
          <w:sz w:val="31"/>
          <w:szCs w:val="31"/>
          <w:shd w:val="clear" w:color="auto" w:fill="FFFFFF"/>
        </w:rPr>
        <w:t>万元，</w:t>
      </w:r>
      <w:r>
        <w:rPr>
          <w:rFonts w:hint="eastAsia" w:ascii="仿宋" w:hAnsi="仿宋" w:eastAsia="仿宋" w:cs="仿宋"/>
          <w:color w:val="auto"/>
          <w:sz w:val="31"/>
          <w:szCs w:val="31"/>
        </w:rPr>
        <w:t>下降1.33%</w:t>
      </w:r>
      <w:r>
        <w:rPr>
          <w:rFonts w:hint="eastAsia" w:ascii="仿宋" w:hAnsi="仿宋" w:eastAsia="仿宋" w:cs="仿宋"/>
          <w:color w:val="auto"/>
          <w:sz w:val="31"/>
          <w:szCs w:val="31"/>
          <w:shd w:val="clear" w:color="auto" w:fill="FFFFFF"/>
        </w:rPr>
        <w:t> 。其中：基本支出</w:t>
      </w:r>
      <w:r>
        <w:rPr>
          <w:rFonts w:hint="eastAsia" w:ascii="仿宋" w:hAnsi="仿宋" w:eastAsia="仿宋" w:cs="仿宋"/>
          <w:color w:val="auto"/>
          <w:sz w:val="31"/>
          <w:szCs w:val="31"/>
        </w:rPr>
        <w:t>111.58</w:t>
      </w:r>
      <w:r>
        <w:rPr>
          <w:rFonts w:hint="eastAsia" w:ascii="仿宋" w:hAnsi="仿宋" w:eastAsia="仿宋" w:cs="仿宋"/>
          <w:color w:val="auto"/>
          <w:sz w:val="31"/>
          <w:szCs w:val="31"/>
          <w:shd w:val="clear" w:color="auto" w:fill="FFFFFF"/>
        </w:rPr>
        <w:t>万元，项目支出</w:t>
      </w:r>
      <w:r>
        <w:rPr>
          <w:rFonts w:hint="eastAsia" w:ascii="仿宋" w:hAnsi="仿宋" w:eastAsia="仿宋" w:cs="仿宋"/>
          <w:color w:val="auto"/>
          <w:sz w:val="31"/>
          <w:szCs w:val="31"/>
        </w:rPr>
        <w:t>567.83</w:t>
      </w:r>
      <w:r>
        <w:rPr>
          <w:rFonts w:hint="eastAsia" w:ascii="仿宋" w:hAnsi="仿宋" w:eastAsia="仿宋" w:cs="仿宋"/>
          <w:color w:val="auto"/>
          <w:sz w:val="31"/>
          <w:szCs w:val="31"/>
          <w:shd w:val="clear" w:color="auto" w:fill="FFFFFF"/>
        </w:rPr>
        <w:t xml:space="preserve"> 万元。</w:t>
      </w:r>
    </w:p>
    <w:p>
      <w:pPr>
        <w:pStyle w:val="6"/>
        <w:widowControl/>
        <w:spacing w:before="450" w:beforeAutospacing="0" w:after="450" w:afterAutospacing="0" w:line="420" w:lineRule="atLeast"/>
        <w:ind w:firstLine="630"/>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u w:val="single"/>
          <w:shd w:val="clear" w:color="auto" w:fill="FFFFFF"/>
        </w:rPr>
        <w:t>百色起义革命旧址管理处</w:t>
      </w:r>
      <w:r>
        <w:rPr>
          <w:rFonts w:hint="eastAsia" w:ascii="仿宋" w:hAnsi="仿宋" w:eastAsia="仿宋" w:cs="仿宋"/>
          <w:color w:val="auto"/>
          <w:sz w:val="31"/>
          <w:szCs w:val="31"/>
          <w:shd w:val="clear" w:color="auto" w:fill="FFFFFF"/>
        </w:rPr>
        <w:t>2022年度一般公共预算财政拨款支出年初预算为</w:t>
      </w:r>
      <w:r>
        <w:rPr>
          <w:rFonts w:hint="eastAsia" w:ascii="仿宋" w:hAnsi="仿宋" w:eastAsia="仿宋" w:cs="仿宋"/>
          <w:color w:val="auto"/>
          <w:sz w:val="31"/>
          <w:szCs w:val="31"/>
        </w:rPr>
        <w:t>94.22</w:t>
      </w:r>
      <w:r>
        <w:rPr>
          <w:rFonts w:hint="eastAsia" w:ascii="仿宋" w:hAnsi="仿宋" w:eastAsia="仿宋" w:cs="仿宋"/>
          <w:color w:val="auto"/>
          <w:sz w:val="31"/>
          <w:szCs w:val="31"/>
          <w:shd w:val="clear" w:color="auto" w:fill="FFFFFF"/>
        </w:rPr>
        <w:t>万元，支出决算为</w:t>
      </w:r>
      <w:r>
        <w:rPr>
          <w:rFonts w:hint="eastAsia" w:ascii="仿宋" w:hAnsi="仿宋" w:eastAsia="仿宋" w:cs="仿宋"/>
          <w:color w:val="auto"/>
          <w:sz w:val="31"/>
          <w:szCs w:val="31"/>
        </w:rPr>
        <w:t>679.40</w:t>
      </w:r>
      <w:r>
        <w:rPr>
          <w:rFonts w:hint="eastAsia" w:ascii="仿宋" w:hAnsi="仿宋" w:eastAsia="仿宋" w:cs="仿宋"/>
          <w:color w:val="auto"/>
          <w:sz w:val="31"/>
          <w:szCs w:val="31"/>
          <w:shd w:val="clear" w:color="auto" w:fill="FFFFFF"/>
        </w:rPr>
        <w:t>万元，完成年初预算的</w:t>
      </w:r>
      <w:r>
        <w:rPr>
          <w:rFonts w:hint="eastAsia" w:ascii="仿宋" w:hAnsi="仿宋" w:eastAsia="仿宋" w:cs="仿宋"/>
          <w:color w:val="auto"/>
          <w:sz w:val="31"/>
          <w:szCs w:val="31"/>
        </w:rPr>
        <w:t>721.08%</w:t>
      </w:r>
      <w:r>
        <w:rPr>
          <w:rFonts w:hint="eastAsia" w:ascii="仿宋" w:hAnsi="仿宋" w:eastAsia="仿宋" w:cs="仿宋"/>
          <w:color w:val="auto"/>
          <w:sz w:val="31"/>
          <w:szCs w:val="31"/>
          <w:shd w:val="clear" w:color="auto" w:fill="FFFFFF"/>
        </w:rPr>
        <w:t>。</w:t>
      </w:r>
    </w:p>
    <w:p>
      <w:pPr>
        <w:jc w:val="left"/>
        <w:rPr>
          <w:rFonts w:hint="eastAsia" w:ascii="仿宋" w:hAnsi="仿宋" w:eastAsia="仿宋" w:cs="仿宋"/>
          <w:color w:val="auto"/>
          <w:kern w:val="0"/>
          <w:sz w:val="31"/>
          <w:szCs w:val="31"/>
          <w:shd w:val="clear" w:color="auto" w:fill="FFFFFF"/>
          <w:lang w:val="en-US" w:eastAsia="zh-CN" w:bidi="ar-SA"/>
        </w:rPr>
      </w:pPr>
      <w:r>
        <w:rPr>
          <w:rFonts w:ascii="仿宋" w:hAnsi="仿宋" w:eastAsia="仿宋" w:cs="仿宋"/>
          <w:color w:val="auto"/>
          <w:sz w:val="31"/>
          <w:u w:color="auto"/>
        </w:rPr>
        <w:t xml:space="preserve"> </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w:t>
      </w:r>
      <w:r>
        <w:rPr>
          <w:rFonts w:ascii="仿宋" w:hAnsi="仿宋" w:eastAsia="仿宋" w:cs="仿宋"/>
          <w:color w:val="auto"/>
          <w:sz w:val="31"/>
          <w:u w:color="auto"/>
        </w:rPr>
        <w:t>1)文化旅游体育与传媒支出</w:t>
      </w:r>
      <w:r>
        <w:rPr>
          <w:rFonts w:hint="eastAsia" w:ascii="仿宋" w:hAnsi="仿宋" w:eastAsia="仿宋" w:cs="仿宋"/>
          <w:color w:val="auto"/>
          <w:sz w:val="31"/>
          <w:szCs w:val="31"/>
          <w:shd w:val="clear" w:color="auto" w:fill="FFFFFF"/>
        </w:rPr>
        <w:t>（类）</w:t>
      </w:r>
      <w:r>
        <w:rPr>
          <w:rFonts w:hint="eastAsia" w:ascii="仿宋" w:hAnsi="仿宋" w:eastAsia="仿宋" w:cs="仿宋"/>
          <w:color w:val="auto"/>
          <w:sz w:val="31"/>
          <w:szCs w:val="31"/>
          <w:shd w:val="clear" w:color="auto" w:fill="FFFFFF"/>
          <w:lang w:val="en-US" w:eastAsia="zh-CN"/>
        </w:rPr>
        <w:t>文化旅游体育与传媒支出</w:t>
      </w:r>
      <w:r>
        <w:rPr>
          <w:rFonts w:hint="eastAsia" w:ascii="仿宋" w:hAnsi="仿宋" w:eastAsia="仿宋" w:cs="仿宋"/>
          <w:color w:val="auto"/>
          <w:sz w:val="31"/>
          <w:szCs w:val="31"/>
          <w:shd w:val="clear" w:color="auto" w:fill="FFFFFF"/>
        </w:rPr>
        <w:t>（款）</w:t>
      </w:r>
      <w:r>
        <w:rPr>
          <w:rFonts w:hint="eastAsia" w:ascii="仿宋" w:hAnsi="仿宋" w:eastAsia="仿宋" w:cs="仿宋"/>
          <w:color w:val="auto"/>
          <w:sz w:val="31"/>
          <w:szCs w:val="31"/>
          <w:shd w:val="clear" w:color="auto" w:fill="FFFFFF"/>
          <w:lang w:val="en-US" w:eastAsia="zh-CN"/>
        </w:rPr>
        <w:t>其他文化和旅游支出</w:t>
      </w:r>
      <w:r>
        <w:rPr>
          <w:rFonts w:hint="eastAsia" w:ascii="仿宋" w:hAnsi="仿宋" w:eastAsia="仿宋" w:cs="仿宋"/>
          <w:color w:val="auto"/>
          <w:sz w:val="31"/>
          <w:szCs w:val="31"/>
          <w:shd w:val="clear" w:color="auto" w:fill="FFFFFF"/>
        </w:rPr>
        <w:t>（项）年初预算为</w:t>
      </w:r>
      <w:r>
        <w:rPr>
          <w:rFonts w:ascii="仿宋" w:hAnsi="仿宋" w:eastAsia="仿宋" w:cs="仿宋"/>
          <w:color w:val="auto"/>
          <w:sz w:val="31"/>
          <w:u w:color="auto"/>
        </w:rPr>
        <w:t>0.00</w:t>
      </w:r>
      <w:r>
        <w:rPr>
          <w:rFonts w:hint="eastAsia" w:ascii="仿宋" w:hAnsi="仿宋" w:eastAsia="仿宋" w:cs="仿宋"/>
          <w:color w:val="auto"/>
          <w:sz w:val="31"/>
          <w:szCs w:val="31"/>
          <w:shd w:val="clear" w:color="auto" w:fill="FFFFFF"/>
        </w:rPr>
        <w:t xml:space="preserve"> 万元，支出决算为</w:t>
      </w:r>
      <w:r>
        <w:rPr>
          <w:rFonts w:ascii="仿宋" w:hAnsi="仿宋" w:eastAsia="仿宋" w:cs="仿宋"/>
          <w:color w:val="auto"/>
          <w:sz w:val="31"/>
          <w:u w:color="auto"/>
        </w:rPr>
        <w:t>15.67</w:t>
      </w:r>
      <w:r>
        <w:rPr>
          <w:rFonts w:hint="eastAsia" w:ascii="仿宋" w:hAnsi="仿宋" w:eastAsia="仿宋" w:cs="仿宋"/>
          <w:color w:val="auto"/>
          <w:sz w:val="31"/>
          <w:szCs w:val="31"/>
          <w:shd w:val="clear" w:color="auto" w:fill="FFFFFF"/>
        </w:rPr>
        <w:t>万元，完成年初预算的</w:t>
      </w:r>
      <w:r>
        <w:rPr>
          <w:rFonts w:ascii="仿宋" w:hAnsi="仿宋" w:eastAsia="仿宋" w:cs="仿宋"/>
          <w:color w:val="auto"/>
          <w:sz w:val="31"/>
          <w:u w:color="auto"/>
        </w:rPr>
        <w:t>100%</w:t>
      </w:r>
      <w:r>
        <w:rPr>
          <w:rFonts w:hint="eastAsia" w:ascii="仿宋" w:hAnsi="仿宋" w:eastAsia="仿宋" w:cs="仿宋"/>
          <w:color w:val="auto"/>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原因是：年中追加项目经费支出</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w:t>
      </w:r>
      <w:r>
        <w:rPr>
          <w:rFonts w:ascii="仿宋" w:hAnsi="仿宋" w:eastAsia="仿宋" w:cs="仿宋"/>
          <w:color w:val="auto"/>
          <w:sz w:val="31"/>
          <w:u w:color="auto"/>
        </w:rPr>
        <w:t>2)文化旅游体育与传媒支出</w:t>
      </w:r>
      <w:r>
        <w:rPr>
          <w:rFonts w:hint="eastAsia" w:ascii="仿宋" w:hAnsi="仿宋" w:eastAsia="仿宋" w:cs="仿宋"/>
          <w:color w:val="auto"/>
          <w:sz w:val="31"/>
          <w:szCs w:val="31"/>
          <w:shd w:val="clear" w:color="auto" w:fill="FFFFFF"/>
        </w:rPr>
        <w:t>（类）</w:t>
      </w:r>
      <w:r>
        <w:rPr>
          <w:rFonts w:hint="eastAsia" w:ascii="仿宋" w:hAnsi="仿宋" w:eastAsia="仿宋" w:cs="仿宋"/>
          <w:color w:val="auto"/>
          <w:sz w:val="31"/>
          <w:szCs w:val="31"/>
          <w:shd w:val="clear" w:color="auto" w:fill="FFFFFF"/>
          <w:lang w:val="en-US" w:eastAsia="zh-CN"/>
        </w:rPr>
        <w:t>文化旅游体育与传媒支出</w:t>
      </w:r>
      <w:r>
        <w:rPr>
          <w:rFonts w:hint="eastAsia" w:ascii="仿宋" w:hAnsi="仿宋" w:eastAsia="仿宋" w:cs="仿宋"/>
          <w:color w:val="auto"/>
          <w:sz w:val="31"/>
          <w:szCs w:val="31"/>
          <w:shd w:val="clear" w:color="auto" w:fill="FFFFFF"/>
        </w:rPr>
        <w:t>（款）</w:t>
      </w:r>
      <w:r>
        <w:rPr>
          <w:rFonts w:hint="eastAsia" w:ascii="仿宋" w:hAnsi="仿宋" w:eastAsia="仿宋" w:cs="仿宋"/>
          <w:color w:val="auto"/>
          <w:sz w:val="31"/>
          <w:szCs w:val="31"/>
          <w:shd w:val="clear" w:color="auto" w:fill="FFFFFF"/>
          <w:lang w:val="en-US" w:eastAsia="zh-CN"/>
        </w:rPr>
        <w:t>文物保护</w:t>
      </w:r>
      <w:r>
        <w:rPr>
          <w:rFonts w:hint="eastAsia" w:ascii="仿宋" w:hAnsi="仿宋" w:eastAsia="仿宋" w:cs="仿宋"/>
          <w:color w:val="auto"/>
          <w:sz w:val="31"/>
          <w:szCs w:val="31"/>
          <w:shd w:val="clear" w:color="auto" w:fill="FFFFFF"/>
        </w:rPr>
        <w:t>（项）年初预算为</w:t>
      </w:r>
      <w:r>
        <w:rPr>
          <w:rFonts w:ascii="仿宋" w:hAnsi="仿宋" w:eastAsia="仿宋" w:cs="仿宋"/>
          <w:color w:val="auto"/>
          <w:sz w:val="31"/>
          <w:u w:color="auto"/>
        </w:rPr>
        <w:t>0.00</w:t>
      </w:r>
      <w:r>
        <w:rPr>
          <w:rFonts w:hint="eastAsia" w:ascii="仿宋" w:hAnsi="仿宋" w:eastAsia="仿宋" w:cs="仿宋"/>
          <w:color w:val="auto"/>
          <w:sz w:val="31"/>
          <w:szCs w:val="31"/>
          <w:shd w:val="clear" w:color="auto" w:fill="FFFFFF"/>
        </w:rPr>
        <w:t xml:space="preserve"> 万元，支出决算为</w:t>
      </w:r>
      <w:r>
        <w:rPr>
          <w:rFonts w:ascii="仿宋" w:hAnsi="仿宋" w:eastAsia="仿宋" w:cs="仿宋"/>
          <w:color w:val="auto"/>
          <w:sz w:val="31"/>
          <w:u w:color="auto"/>
        </w:rPr>
        <w:t>337.54</w:t>
      </w:r>
      <w:r>
        <w:rPr>
          <w:rFonts w:hint="eastAsia" w:ascii="仿宋" w:hAnsi="仿宋" w:eastAsia="仿宋" w:cs="仿宋"/>
          <w:color w:val="auto"/>
          <w:sz w:val="31"/>
          <w:szCs w:val="31"/>
          <w:shd w:val="clear" w:color="auto" w:fill="FFFFFF"/>
        </w:rPr>
        <w:t>万元，完成年初预算的</w:t>
      </w:r>
      <w:r>
        <w:rPr>
          <w:rFonts w:ascii="仿宋" w:hAnsi="仿宋" w:eastAsia="仿宋" w:cs="仿宋"/>
          <w:color w:val="auto"/>
          <w:sz w:val="31"/>
          <w:u w:color="auto"/>
        </w:rPr>
        <w:t>100%</w:t>
      </w:r>
      <w:r>
        <w:rPr>
          <w:rFonts w:hint="eastAsia" w:ascii="仿宋" w:hAnsi="仿宋" w:eastAsia="仿宋" w:cs="仿宋"/>
          <w:color w:val="auto"/>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原因是：年中追加</w:t>
      </w:r>
      <w:r>
        <w:rPr>
          <w:rFonts w:hint="eastAsia" w:ascii="仿宋_GB2312" w:eastAsia="仿宋_GB2312" w:cs="仿宋_GB2312"/>
          <w:color w:val="auto"/>
          <w:kern w:val="0"/>
          <w:sz w:val="32"/>
          <w:szCs w:val="32"/>
          <w:lang w:val="en-US" w:eastAsia="zh-CN"/>
        </w:rPr>
        <w:t>文物保护资金项目经费支出</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w:t>
      </w:r>
      <w:r>
        <w:rPr>
          <w:rFonts w:ascii="仿宋" w:hAnsi="仿宋" w:eastAsia="仿宋" w:cs="仿宋"/>
          <w:color w:val="auto"/>
          <w:sz w:val="31"/>
          <w:u w:color="auto"/>
        </w:rPr>
        <w:t>3)文化旅游体育与传媒支出</w:t>
      </w:r>
      <w:r>
        <w:rPr>
          <w:rFonts w:hint="eastAsia" w:ascii="仿宋" w:hAnsi="仿宋" w:eastAsia="仿宋" w:cs="仿宋"/>
          <w:color w:val="auto"/>
          <w:sz w:val="31"/>
          <w:szCs w:val="31"/>
          <w:shd w:val="clear" w:color="auto" w:fill="FFFFFF"/>
        </w:rPr>
        <w:t>（类）</w:t>
      </w:r>
      <w:r>
        <w:rPr>
          <w:rFonts w:hint="eastAsia" w:ascii="仿宋" w:hAnsi="仿宋" w:eastAsia="仿宋" w:cs="仿宋"/>
          <w:color w:val="auto"/>
          <w:sz w:val="31"/>
          <w:szCs w:val="31"/>
          <w:shd w:val="clear" w:color="auto" w:fill="FFFFFF"/>
          <w:lang w:val="en-US" w:eastAsia="zh-CN"/>
        </w:rPr>
        <w:t>文化旅游体育与传媒支出</w:t>
      </w:r>
      <w:r>
        <w:rPr>
          <w:rFonts w:hint="eastAsia" w:ascii="仿宋" w:hAnsi="仿宋" w:eastAsia="仿宋" w:cs="仿宋"/>
          <w:color w:val="auto"/>
          <w:sz w:val="31"/>
          <w:szCs w:val="31"/>
          <w:shd w:val="clear" w:color="auto" w:fill="FFFFFF"/>
        </w:rPr>
        <w:t>（款）</w:t>
      </w:r>
      <w:r>
        <w:rPr>
          <w:rFonts w:hint="eastAsia" w:ascii="仿宋" w:hAnsi="仿宋" w:eastAsia="仿宋" w:cs="仿宋"/>
          <w:color w:val="auto"/>
          <w:sz w:val="31"/>
          <w:szCs w:val="31"/>
          <w:shd w:val="clear" w:color="auto" w:fill="FFFFFF"/>
          <w:lang w:val="en-US" w:eastAsia="zh-CN"/>
        </w:rPr>
        <w:t>博物馆</w:t>
      </w:r>
      <w:r>
        <w:rPr>
          <w:rFonts w:hint="eastAsia" w:ascii="仿宋" w:hAnsi="仿宋" w:eastAsia="仿宋" w:cs="仿宋"/>
          <w:color w:val="auto"/>
          <w:sz w:val="31"/>
          <w:szCs w:val="31"/>
          <w:shd w:val="clear" w:color="auto" w:fill="FFFFFF"/>
        </w:rPr>
        <w:t>（项）年初预算为</w:t>
      </w:r>
      <w:r>
        <w:rPr>
          <w:rFonts w:ascii="仿宋" w:hAnsi="仿宋" w:eastAsia="仿宋" w:cs="仿宋"/>
          <w:color w:val="auto"/>
          <w:sz w:val="31"/>
          <w:u w:color="auto"/>
        </w:rPr>
        <w:t>18.00</w:t>
      </w:r>
      <w:r>
        <w:rPr>
          <w:rFonts w:hint="eastAsia" w:ascii="仿宋" w:hAnsi="仿宋" w:eastAsia="仿宋" w:cs="仿宋"/>
          <w:color w:val="auto"/>
          <w:sz w:val="31"/>
          <w:szCs w:val="31"/>
          <w:shd w:val="clear" w:color="auto" w:fill="FFFFFF"/>
        </w:rPr>
        <w:t xml:space="preserve"> 万元，支出决算为</w:t>
      </w:r>
      <w:r>
        <w:rPr>
          <w:rFonts w:ascii="仿宋" w:hAnsi="仿宋" w:eastAsia="仿宋" w:cs="仿宋"/>
          <w:color w:val="auto"/>
          <w:sz w:val="31"/>
          <w:u w:color="auto"/>
        </w:rPr>
        <w:t>214.62</w:t>
      </w:r>
      <w:r>
        <w:rPr>
          <w:rFonts w:hint="eastAsia" w:ascii="仿宋" w:hAnsi="仿宋" w:eastAsia="仿宋" w:cs="仿宋"/>
          <w:color w:val="auto"/>
          <w:sz w:val="31"/>
          <w:szCs w:val="31"/>
          <w:shd w:val="clear" w:color="auto" w:fill="FFFFFF"/>
        </w:rPr>
        <w:t>万元，完成年初预算的</w:t>
      </w:r>
      <w:r>
        <w:rPr>
          <w:rFonts w:ascii="仿宋" w:hAnsi="仿宋" w:eastAsia="仿宋" w:cs="仿宋"/>
          <w:color w:val="auto"/>
          <w:sz w:val="31"/>
          <w:u w:color="auto"/>
        </w:rPr>
        <w:t>1192.33%</w:t>
      </w:r>
      <w:r>
        <w:rPr>
          <w:rFonts w:hint="eastAsia" w:ascii="仿宋" w:hAnsi="仿宋" w:eastAsia="仿宋" w:cs="仿宋"/>
          <w:color w:val="auto"/>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原因是：年中追加</w:t>
      </w:r>
      <w:r>
        <w:rPr>
          <w:rFonts w:hint="eastAsia" w:ascii="仿宋_GB2312" w:eastAsia="仿宋_GB2312" w:cs="仿宋_GB2312"/>
          <w:color w:val="auto"/>
          <w:kern w:val="0"/>
          <w:sz w:val="32"/>
          <w:szCs w:val="32"/>
          <w:lang w:val="en-US" w:eastAsia="zh-CN"/>
        </w:rPr>
        <w:t>文物保护资金项目经费支出</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w:t>
      </w:r>
      <w:r>
        <w:rPr>
          <w:rFonts w:ascii="仿宋" w:hAnsi="仿宋" w:eastAsia="仿宋" w:cs="仿宋"/>
          <w:color w:val="auto"/>
          <w:sz w:val="31"/>
          <w:u w:color="auto"/>
        </w:rPr>
        <w:t>4)文化旅游体育与传媒支出</w:t>
      </w:r>
      <w:r>
        <w:rPr>
          <w:rFonts w:hint="eastAsia" w:ascii="仿宋" w:hAnsi="仿宋" w:eastAsia="仿宋" w:cs="仿宋"/>
          <w:color w:val="auto"/>
          <w:sz w:val="31"/>
          <w:szCs w:val="31"/>
          <w:shd w:val="clear" w:color="auto" w:fill="FFFFFF"/>
        </w:rPr>
        <w:t>（类）</w:t>
      </w:r>
      <w:r>
        <w:rPr>
          <w:rFonts w:hint="eastAsia" w:ascii="仿宋" w:hAnsi="仿宋" w:eastAsia="仿宋" w:cs="仿宋"/>
          <w:color w:val="auto"/>
          <w:sz w:val="31"/>
          <w:szCs w:val="31"/>
          <w:shd w:val="clear" w:color="auto" w:fill="FFFFFF"/>
          <w:lang w:val="en-US" w:eastAsia="zh-CN"/>
        </w:rPr>
        <w:t>文化旅游体育与传媒支出</w:t>
      </w:r>
      <w:r>
        <w:rPr>
          <w:rFonts w:hint="eastAsia" w:ascii="仿宋" w:hAnsi="仿宋" w:eastAsia="仿宋" w:cs="仿宋"/>
          <w:color w:val="auto"/>
          <w:sz w:val="31"/>
          <w:szCs w:val="31"/>
          <w:shd w:val="clear" w:color="auto" w:fill="FFFFFF"/>
        </w:rPr>
        <w:t>（款）</w:t>
      </w:r>
      <w:r>
        <w:rPr>
          <w:rFonts w:hint="eastAsia" w:ascii="仿宋" w:hAnsi="仿宋" w:eastAsia="仿宋" w:cs="仿宋"/>
          <w:color w:val="auto"/>
          <w:sz w:val="31"/>
          <w:szCs w:val="31"/>
          <w:shd w:val="clear" w:color="auto" w:fill="FFFFFF"/>
          <w:lang w:val="en-US" w:eastAsia="zh-CN"/>
        </w:rPr>
        <w:t>其他文物支出</w:t>
      </w:r>
      <w:r>
        <w:rPr>
          <w:rFonts w:hint="eastAsia" w:ascii="仿宋" w:hAnsi="仿宋" w:eastAsia="仿宋" w:cs="仿宋"/>
          <w:color w:val="auto"/>
          <w:sz w:val="31"/>
          <w:szCs w:val="31"/>
          <w:shd w:val="clear" w:color="auto" w:fill="FFFFFF"/>
        </w:rPr>
        <w:t>（项）年初预算为</w:t>
      </w:r>
      <w:r>
        <w:rPr>
          <w:rFonts w:ascii="仿宋" w:hAnsi="仿宋" w:eastAsia="仿宋" w:cs="仿宋"/>
          <w:color w:val="auto"/>
          <w:sz w:val="31"/>
          <w:u w:color="auto"/>
        </w:rPr>
        <w:t>51.37</w:t>
      </w:r>
      <w:r>
        <w:rPr>
          <w:rFonts w:hint="eastAsia" w:ascii="仿宋" w:hAnsi="仿宋" w:eastAsia="仿宋" w:cs="仿宋"/>
          <w:color w:val="auto"/>
          <w:sz w:val="31"/>
          <w:szCs w:val="31"/>
          <w:shd w:val="clear" w:color="auto" w:fill="FFFFFF"/>
        </w:rPr>
        <w:t xml:space="preserve"> 万元，支出决算为</w:t>
      </w:r>
      <w:r>
        <w:rPr>
          <w:rFonts w:ascii="仿宋" w:hAnsi="仿宋" w:eastAsia="仿宋" w:cs="仿宋"/>
          <w:color w:val="auto"/>
          <w:sz w:val="31"/>
          <w:u w:color="auto"/>
        </w:rPr>
        <w:t>85.34</w:t>
      </w:r>
      <w:r>
        <w:rPr>
          <w:rFonts w:hint="eastAsia" w:ascii="仿宋" w:hAnsi="仿宋" w:eastAsia="仿宋" w:cs="仿宋"/>
          <w:color w:val="auto"/>
          <w:sz w:val="31"/>
          <w:szCs w:val="31"/>
          <w:shd w:val="clear" w:color="auto" w:fill="FFFFFF"/>
        </w:rPr>
        <w:t>万元，完成年初预算的</w:t>
      </w:r>
      <w:r>
        <w:rPr>
          <w:rFonts w:ascii="仿宋" w:hAnsi="仿宋" w:eastAsia="仿宋" w:cs="仿宋"/>
          <w:color w:val="auto"/>
          <w:sz w:val="31"/>
          <w:u w:color="auto"/>
        </w:rPr>
        <w:t>166.13%</w:t>
      </w:r>
      <w:r>
        <w:rPr>
          <w:rFonts w:hint="eastAsia" w:ascii="仿宋" w:hAnsi="仿宋" w:eastAsia="仿宋" w:cs="仿宋"/>
          <w:color w:val="auto"/>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w:t>
      </w:r>
      <w:r>
        <w:rPr>
          <w:rFonts w:hint="eastAsia" w:ascii="仿宋" w:hAnsi="仿宋" w:eastAsia="仿宋" w:cs="仿宋"/>
          <w:color w:val="auto"/>
          <w:kern w:val="2"/>
          <w:sz w:val="31"/>
          <w:szCs w:val="31"/>
          <w:highlight w:val="none"/>
          <w:lang w:val="en-US" w:eastAsia="zh-CN" w:bidi="ar"/>
        </w:rPr>
        <w:t>年中调资。</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w:t>
      </w:r>
      <w:r>
        <w:rPr>
          <w:rFonts w:ascii="仿宋" w:hAnsi="仿宋" w:eastAsia="仿宋" w:cs="仿宋"/>
          <w:color w:val="auto"/>
          <w:sz w:val="31"/>
          <w:u w:color="auto"/>
        </w:rPr>
        <w:t>5)社会保障和就业支出</w:t>
      </w:r>
      <w:r>
        <w:rPr>
          <w:rFonts w:hint="eastAsia" w:ascii="仿宋" w:hAnsi="仿宋" w:eastAsia="仿宋" w:cs="仿宋"/>
          <w:color w:val="auto"/>
          <w:sz w:val="31"/>
          <w:szCs w:val="31"/>
          <w:shd w:val="clear" w:color="auto" w:fill="FFFFFF"/>
        </w:rPr>
        <w:t>（类）</w:t>
      </w:r>
      <w:r>
        <w:rPr>
          <w:rFonts w:hint="eastAsia" w:ascii="仿宋" w:hAnsi="仿宋" w:eastAsia="仿宋" w:cs="仿宋"/>
          <w:color w:val="auto"/>
          <w:sz w:val="31"/>
          <w:szCs w:val="31"/>
          <w:shd w:val="clear" w:color="auto" w:fill="FFFFFF"/>
          <w:lang w:val="en-US" w:eastAsia="zh-CN"/>
        </w:rPr>
        <w:t>社会保障和就业支出</w:t>
      </w:r>
      <w:r>
        <w:rPr>
          <w:rFonts w:hint="eastAsia" w:ascii="仿宋" w:hAnsi="仿宋" w:eastAsia="仿宋" w:cs="仿宋"/>
          <w:color w:val="auto"/>
          <w:sz w:val="31"/>
          <w:szCs w:val="31"/>
          <w:shd w:val="clear" w:color="auto" w:fill="FFFFFF"/>
        </w:rPr>
        <w:t>（款）</w:t>
      </w:r>
      <w:r>
        <w:rPr>
          <w:rFonts w:hint="eastAsia" w:ascii="仿宋" w:hAnsi="仿宋" w:eastAsia="仿宋" w:cs="仿宋"/>
          <w:color w:val="auto"/>
          <w:sz w:val="31"/>
          <w:szCs w:val="31"/>
          <w:shd w:val="clear" w:color="auto" w:fill="FFFFFF"/>
          <w:lang w:val="en-US" w:eastAsia="zh-CN"/>
        </w:rPr>
        <w:t>事业单位离退休</w:t>
      </w:r>
      <w:r>
        <w:rPr>
          <w:rFonts w:hint="eastAsia" w:ascii="仿宋" w:hAnsi="仿宋" w:eastAsia="仿宋" w:cs="仿宋"/>
          <w:color w:val="auto"/>
          <w:sz w:val="31"/>
          <w:szCs w:val="31"/>
          <w:shd w:val="clear" w:color="auto" w:fill="FFFFFF"/>
        </w:rPr>
        <w:t>（项）年初预算为</w:t>
      </w:r>
      <w:r>
        <w:rPr>
          <w:rFonts w:ascii="仿宋" w:hAnsi="仿宋" w:eastAsia="仿宋" w:cs="仿宋"/>
          <w:color w:val="auto"/>
          <w:sz w:val="31"/>
          <w:u w:color="auto"/>
        </w:rPr>
        <w:t>3.10</w:t>
      </w:r>
      <w:r>
        <w:rPr>
          <w:rFonts w:hint="eastAsia" w:ascii="仿宋" w:hAnsi="仿宋" w:eastAsia="仿宋" w:cs="仿宋"/>
          <w:color w:val="auto"/>
          <w:sz w:val="31"/>
          <w:szCs w:val="31"/>
          <w:shd w:val="clear" w:color="auto" w:fill="FFFFFF"/>
        </w:rPr>
        <w:t xml:space="preserve"> 万元，支出决算为</w:t>
      </w:r>
      <w:r>
        <w:rPr>
          <w:rFonts w:ascii="仿宋" w:hAnsi="仿宋" w:eastAsia="仿宋" w:cs="仿宋"/>
          <w:color w:val="auto"/>
          <w:sz w:val="31"/>
          <w:u w:color="auto"/>
        </w:rPr>
        <w:t>3.87</w:t>
      </w:r>
      <w:r>
        <w:rPr>
          <w:rFonts w:hint="eastAsia" w:ascii="仿宋" w:hAnsi="仿宋" w:eastAsia="仿宋" w:cs="仿宋"/>
          <w:color w:val="auto"/>
          <w:sz w:val="31"/>
          <w:szCs w:val="31"/>
          <w:shd w:val="clear" w:color="auto" w:fill="FFFFFF"/>
        </w:rPr>
        <w:t>万元，完成年初预算的</w:t>
      </w:r>
      <w:r>
        <w:rPr>
          <w:rFonts w:ascii="仿宋" w:hAnsi="仿宋" w:eastAsia="仿宋" w:cs="仿宋"/>
          <w:color w:val="auto"/>
          <w:sz w:val="31"/>
          <w:u w:color="auto"/>
        </w:rPr>
        <w:t>124.84%</w:t>
      </w:r>
      <w:r>
        <w:rPr>
          <w:rFonts w:hint="eastAsia" w:ascii="仿宋" w:hAnsi="仿宋" w:eastAsia="仿宋" w:cs="仿宋"/>
          <w:color w:val="auto"/>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原因是：退休费增加</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w:t>
      </w:r>
      <w:r>
        <w:rPr>
          <w:rFonts w:ascii="仿宋" w:hAnsi="仿宋" w:eastAsia="仿宋" w:cs="仿宋"/>
          <w:color w:val="auto"/>
          <w:sz w:val="31"/>
          <w:u w:color="auto"/>
        </w:rPr>
        <w:t>6)社会保障和就业支出</w:t>
      </w:r>
      <w:r>
        <w:rPr>
          <w:rFonts w:hint="eastAsia" w:ascii="仿宋" w:hAnsi="仿宋" w:eastAsia="仿宋" w:cs="仿宋"/>
          <w:color w:val="auto"/>
          <w:sz w:val="31"/>
          <w:szCs w:val="31"/>
          <w:shd w:val="clear" w:color="auto" w:fill="FFFFFF"/>
        </w:rPr>
        <w:t>（类）</w:t>
      </w:r>
      <w:r>
        <w:rPr>
          <w:rFonts w:hint="eastAsia" w:ascii="仿宋" w:hAnsi="仿宋" w:eastAsia="仿宋" w:cs="仿宋"/>
          <w:color w:val="auto"/>
          <w:sz w:val="31"/>
          <w:szCs w:val="31"/>
          <w:shd w:val="clear" w:color="auto" w:fill="FFFFFF"/>
          <w:lang w:val="en-US" w:eastAsia="zh-CN"/>
        </w:rPr>
        <w:t>社会保障和就业支出</w:t>
      </w:r>
      <w:r>
        <w:rPr>
          <w:rFonts w:hint="eastAsia" w:ascii="仿宋" w:hAnsi="仿宋" w:eastAsia="仿宋" w:cs="仿宋"/>
          <w:color w:val="auto"/>
          <w:sz w:val="31"/>
          <w:szCs w:val="31"/>
          <w:shd w:val="clear" w:color="auto" w:fill="FFFFFF"/>
        </w:rPr>
        <w:t>（款）</w:t>
      </w:r>
      <w:r>
        <w:rPr>
          <w:rFonts w:hint="eastAsia" w:ascii="仿宋" w:hAnsi="仿宋" w:eastAsia="仿宋" w:cs="仿宋"/>
          <w:color w:val="auto"/>
          <w:sz w:val="31"/>
          <w:szCs w:val="31"/>
          <w:shd w:val="clear" w:color="auto" w:fill="FFFFFF"/>
          <w:lang w:val="en-US" w:eastAsia="zh-CN"/>
        </w:rPr>
        <w:t>机关事业单位基本养老保险缴费支出</w:t>
      </w:r>
      <w:r>
        <w:rPr>
          <w:rFonts w:hint="eastAsia" w:ascii="仿宋" w:hAnsi="仿宋" w:eastAsia="仿宋" w:cs="仿宋"/>
          <w:color w:val="auto"/>
          <w:sz w:val="31"/>
          <w:szCs w:val="31"/>
          <w:shd w:val="clear" w:color="auto" w:fill="FFFFFF"/>
        </w:rPr>
        <w:t>（项）年初预算为</w:t>
      </w:r>
      <w:r>
        <w:rPr>
          <w:rFonts w:ascii="仿宋" w:hAnsi="仿宋" w:eastAsia="仿宋" w:cs="仿宋"/>
          <w:color w:val="auto"/>
          <w:sz w:val="31"/>
          <w:u w:color="auto"/>
        </w:rPr>
        <w:t>10.63</w:t>
      </w:r>
      <w:r>
        <w:rPr>
          <w:rFonts w:hint="eastAsia" w:ascii="仿宋" w:hAnsi="仿宋" w:eastAsia="仿宋" w:cs="仿宋"/>
          <w:color w:val="auto"/>
          <w:sz w:val="31"/>
          <w:szCs w:val="31"/>
          <w:shd w:val="clear" w:color="auto" w:fill="FFFFFF"/>
        </w:rPr>
        <w:t xml:space="preserve"> 万元，支出决算为</w:t>
      </w:r>
      <w:r>
        <w:rPr>
          <w:rFonts w:ascii="仿宋" w:hAnsi="仿宋" w:eastAsia="仿宋" w:cs="仿宋"/>
          <w:color w:val="auto"/>
          <w:sz w:val="31"/>
          <w:u w:color="auto"/>
        </w:rPr>
        <w:t>10.63</w:t>
      </w:r>
      <w:r>
        <w:rPr>
          <w:rFonts w:hint="eastAsia" w:ascii="仿宋" w:hAnsi="仿宋" w:eastAsia="仿宋" w:cs="仿宋"/>
          <w:color w:val="auto"/>
          <w:sz w:val="31"/>
          <w:szCs w:val="31"/>
          <w:shd w:val="clear" w:color="auto" w:fill="FFFFFF"/>
        </w:rPr>
        <w:t>万元，完成年初预算的</w:t>
      </w:r>
      <w:r>
        <w:rPr>
          <w:rFonts w:ascii="仿宋" w:hAnsi="仿宋" w:eastAsia="仿宋" w:cs="仿宋"/>
          <w:color w:val="auto"/>
          <w:sz w:val="31"/>
          <w:u w:color="auto"/>
        </w:rPr>
        <w:t>100.00%</w:t>
      </w:r>
      <w:r>
        <w:rPr>
          <w:rFonts w:hint="eastAsia" w:ascii="仿宋" w:hAnsi="仿宋" w:eastAsia="仿宋" w:cs="仿宋"/>
          <w:color w:val="auto"/>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w:t>
      </w:r>
      <w:r>
        <w:rPr>
          <w:rFonts w:hint="eastAsia" w:ascii="仿宋" w:hAnsi="仿宋" w:eastAsia="仿宋" w:cs="仿宋"/>
          <w:color w:val="auto"/>
          <w:kern w:val="2"/>
          <w:sz w:val="31"/>
          <w:szCs w:val="31"/>
          <w:highlight w:val="none"/>
          <w:lang w:val="en-US" w:eastAsia="zh-CN" w:bidi="ar"/>
        </w:rPr>
        <w:t>无差异。</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w:t>
      </w:r>
      <w:r>
        <w:rPr>
          <w:rFonts w:ascii="仿宋" w:hAnsi="仿宋" w:eastAsia="仿宋" w:cs="仿宋"/>
          <w:color w:val="auto"/>
          <w:sz w:val="31"/>
          <w:u w:color="auto"/>
        </w:rPr>
        <w:t>7)卫生健康支出</w:t>
      </w:r>
      <w:r>
        <w:rPr>
          <w:rFonts w:hint="eastAsia" w:ascii="仿宋" w:hAnsi="仿宋" w:eastAsia="仿宋" w:cs="仿宋"/>
          <w:color w:val="auto"/>
          <w:sz w:val="31"/>
          <w:szCs w:val="31"/>
          <w:shd w:val="clear" w:color="auto" w:fill="FFFFFF"/>
        </w:rPr>
        <w:t>（类）</w:t>
      </w:r>
      <w:r>
        <w:rPr>
          <w:rFonts w:hint="eastAsia" w:ascii="仿宋" w:hAnsi="仿宋" w:eastAsia="仿宋" w:cs="仿宋"/>
          <w:color w:val="auto"/>
          <w:sz w:val="31"/>
          <w:szCs w:val="31"/>
          <w:shd w:val="clear" w:color="auto" w:fill="FFFFFF"/>
          <w:lang w:val="en-US" w:eastAsia="zh-CN"/>
        </w:rPr>
        <w:t>卫生健康支出</w:t>
      </w:r>
      <w:r>
        <w:rPr>
          <w:rFonts w:hint="eastAsia" w:ascii="仿宋" w:hAnsi="仿宋" w:eastAsia="仿宋" w:cs="仿宋"/>
          <w:color w:val="auto"/>
          <w:sz w:val="31"/>
          <w:szCs w:val="31"/>
          <w:shd w:val="clear" w:color="auto" w:fill="FFFFFF"/>
        </w:rPr>
        <w:t>（款）</w:t>
      </w:r>
      <w:r>
        <w:rPr>
          <w:rFonts w:hint="eastAsia" w:ascii="仿宋" w:hAnsi="仿宋" w:eastAsia="仿宋" w:cs="仿宋"/>
          <w:color w:val="auto"/>
          <w:sz w:val="31"/>
          <w:szCs w:val="31"/>
          <w:shd w:val="clear" w:color="auto" w:fill="FFFFFF"/>
          <w:lang w:val="en-US" w:eastAsia="zh-CN"/>
        </w:rPr>
        <w:t>事业单位医疗</w:t>
      </w:r>
      <w:r>
        <w:rPr>
          <w:rFonts w:hint="eastAsia" w:ascii="仿宋" w:hAnsi="仿宋" w:eastAsia="仿宋" w:cs="仿宋"/>
          <w:color w:val="auto"/>
          <w:sz w:val="31"/>
          <w:szCs w:val="31"/>
          <w:shd w:val="clear" w:color="auto" w:fill="FFFFFF"/>
        </w:rPr>
        <w:t>（项）年初预算为</w:t>
      </w:r>
      <w:r>
        <w:rPr>
          <w:rFonts w:ascii="仿宋" w:hAnsi="仿宋" w:eastAsia="仿宋" w:cs="仿宋"/>
          <w:color w:val="auto"/>
          <w:sz w:val="31"/>
          <w:u w:color="auto"/>
        </w:rPr>
        <w:t>3.16</w:t>
      </w:r>
      <w:r>
        <w:rPr>
          <w:rFonts w:hint="eastAsia" w:ascii="仿宋" w:hAnsi="仿宋" w:eastAsia="仿宋" w:cs="仿宋"/>
          <w:color w:val="auto"/>
          <w:sz w:val="31"/>
          <w:szCs w:val="31"/>
          <w:shd w:val="clear" w:color="auto" w:fill="FFFFFF"/>
        </w:rPr>
        <w:t xml:space="preserve"> 万元，支出决算为</w:t>
      </w:r>
      <w:r>
        <w:rPr>
          <w:rFonts w:ascii="仿宋" w:hAnsi="仿宋" w:eastAsia="仿宋" w:cs="仿宋"/>
          <w:color w:val="auto"/>
          <w:sz w:val="31"/>
          <w:u w:color="auto"/>
        </w:rPr>
        <w:t>3.16</w:t>
      </w:r>
      <w:r>
        <w:rPr>
          <w:rFonts w:hint="eastAsia" w:ascii="仿宋" w:hAnsi="仿宋" w:eastAsia="仿宋" w:cs="仿宋"/>
          <w:color w:val="auto"/>
          <w:sz w:val="31"/>
          <w:szCs w:val="31"/>
          <w:shd w:val="clear" w:color="auto" w:fill="FFFFFF"/>
        </w:rPr>
        <w:t>万元，完成年初预算的</w:t>
      </w:r>
      <w:r>
        <w:rPr>
          <w:rFonts w:ascii="仿宋" w:hAnsi="仿宋" w:eastAsia="仿宋" w:cs="仿宋"/>
          <w:color w:val="auto"/>
          <w:sz w:val="31"/>
          <w:u w:color="auto"/>
        </w:rPr>
        <w:t>100.00%</w:t>
      </w:r>
      <w:r>
        <w:rPr>
          <w:rFonts w:hint="eastAsia" w:ascii="仿宋" w:hAnsi="仿宋" w:eastAsia="仿宋" w:cs="仿宋"/>
          <w:color w:val="auto"/>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w:t>
      </w:r>
      <w:r>
        <w:rPr>
          <w:rFonts w:hint="eastAsia" w:ascii="仿宋" w:hAnsi="仿宋" w:eastAsia="仿宋" w:cs="仿宋"/>
          <w:color w:val="auto"/>
          <w:kern w:val="2"/>
          <w:sz w:val="31"/>
          <w:szCs w:val="31"/>
          <w:highlight w:val="none"/>
          <w:lang w:val="en-US" w:eastAsia="zh-CN" w:bidi="ar"/>
        </w:rPr>
        <w:t>无差异。</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w:t>
      </w:r>
      <w:r>
        <w:rPr>
          <w:rFonts w:ascii="仿宋" w:hAnsi="仿宋" w:eastAsia="仿宋" w:cs="仿宋"/>
          <w:color w:val="auto"/>
          <w:sz w:val="31"/>
          <w:u w:color="auto"/>
        </w:rPr>
        <w:t>8)住房保障支出</w:t>
      </w:r>
      <w:r>
        <w:rPr>
          <w:rFonts w:hint="eastAsia" w:ascii="仿宋" w:hAnsi="仿宋" w:eastAsia="仿宋" w:cs="仿宋"/>
          <w:color w:val="auto"/>
          <w:sz w:val="31"/>
          <w:szCs w:val="31"/>
          <w:shd w:val="clear" w:color="auto" w:fill="FFFFFF"/>
        </w:rPr>
        <w:t>（类）</w:t>
      </w:r>
      <w:r>
        <w:rPr>
          <w:rFonts w:hint="eastAsia" w:ascii="仿宋" w:hAnsi="仿宋" w:eastAsia="仿宋" w:cs="仿宋"/>
          <w:color w:val="auto"/>
          <w:sz w:val="31"/>
          <w:szCs w:val="31"/>
          <w:shd w:val="clear" w:color="auto" w:fill="FFFFFF"/>
          <w:lang w:val="en-US" w:eastAsia="zh-CN"/>
        </w:rPr>
        <w:t>住房保障支出</w:t>
      </w:r>
      <w:r>
        <w:rPr>
          <w:rFonts w:hint="eastAsia" w:ascii="仿宋" w:hAnsi="仿宋" w:eastAsia="仿宋" w:cs="仿宋"/>
          <w:color w:val="auto"/>
          <w:sz w:val="31"/>
          <w:szCs w:val="31"/>
          <w:shd w:val="clear" w:color="auto" w:fill="FFFFFF"/>
        </w:rPr>
        <w:t>（款）</w:t>
      </w:r>
      <w:r>
        <w:rPr>
          <w:rFonts w:hint="eastAsia" w:ascii="仿宋" w:hAnsi="仿宋" w:eastAsia="仿宋" w:cs="仿宋"/>
          <w:color w:val="auto"/>
          <w:sz w:val="31"/>
          <w:szCs w:val="31"/>
          <w:shd w:val="clear" w:color="auto" w:fill="FFFFFF"/>
          <w:lang w:val="en-US" w:eastAsia="zh-CN"/>
        </w:rPr>
        <w:t>住房公积金</w:t>
      </w:r>
      <w:r>
        <w:rPr>
          <w:rFonts w:hint="eastAsia" w:ascii="仿宋" w:hAnsi="仿宋" w:eastAsia="仿宋" w:cs="仿宋"/>
          <w:color w:val="auto"/>
          <w:sz w:val="31"/>
          <w:szCs w:val="31"/>
          <w:shd w:val="clear" w:color="auto" w:fill="FFFFFF"/>
        </w:rPr>
        <w:t>（项）年初预算为</w:t>
      </w:r>
      <w:r>
        <w:rPr>
          <w:rFonts w:ascii="仿宋" w:hAnsi="仿宋" w:eastAsia="仿宋" w:cs="仿宋"/>
          <w:color w:val="auto"/>
          <w:sz w:val="31"/>
          <w:u w:color="auto"/>
        </w:rPr>
        <w:t>7.97</w:t>
      </w:r>
      <w:r>
        <w:rPr>
          <w:rFonts w:hint="eastAsia" w:ascii="仿宋" w:hAnsi="仿宋" w:eastAsia="仿宋" w:cs="仿宋"/>
          <w:color w:val="auto"/>
          <w:sz w:val="31"/>
          <w:szCs w:val="31"/>
          <w:shd w:val="clear" w:color="auto" w:fill="FFFFFF"/>
        </w:rPr>
        <w:t xml:space="preserve"> 万元，支出决算为</w:t>
      </w:r>
      <w:r>
        <w:rPr>
          <w:rFonts w:ascii="仿宋" w:hAnsi="仿宋" w:eastAsia="仿宋" w:cs="仿宋"/>
          <w:color w:val="auto"/>
          <w:sz w:val="31"/>
          <w:u w:color="auto"/>
        </w:rPr>
        <w:t>8.58</w:t>
      </w:r>
      <w:r>
        <w:rPr>
          <w:rFonts w:hint="eastAsia" w:ascii="仿宋" w:hAnsi="仿宋" w:eastAsia="仿宋" w:cs="仿宋"/>
          <w:color w:val="auto"/>
          <w:sz w:val="31"/>
          <w:szCs w:val="31"/>
          <w:shd w:val="clear" w:color="auto" w:fill="FFFFFF"/>
        </w:rPr>
        <w:t>万元，完成年初预算的</w:t>
      </w:r>
      <w:r>
        <w:rPr>
          <w:rFonts w:ascii="仿宋" w:hAnsi="仿宋" w:eastAsia="仿宋" w:cs="仿宋"/>
          <w:color w:val="auto"/>
          <w:sz w:val="31"/>
          <w:u w:color="auto"/>
        </w:rPr>
        <w:t>107.65%</w:t>
      </w:r>
      <w:r>
        <w:rPr>
          <w:rFonts w:hint="eastAsia" w:ascii="仿宋" w:hAnsi="仿宋" w:eastAsia="仿宋" w:cs="仿宋"/>
          <w:color w:val="auto"/>
          <w:sz w:val="31"/>
          <w:szCs w:val="31"/>
          <w:shd w:val="clear" w:color="auto" w:fill="FFFFFF"/>
        </w:rPr>
        <w:t>。</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w:t>
      </w:r>
      <w:r>
        <w:rPr>
          <w:rFonts w:hint="eastAsia" w:ascii="仿宋" w:hAnsi="仿宋" w:eastAsia="仿宋" w:cs="仿宋"/>
          <w:color w:val="auto"/>
          <w:kern w:val="2"/>
          <w:sz w:val="31"/>
          <w:szCs w:val="31"/>
          <w:highlight w:val="none"/>
          <w:lang w:val="en-US" w:eastAsia="zh-CN" w:bidi="ar"/>
        </w:rPr>
        <w:t>住房公积金缴费基数调整。</w:t>
      </w:r>
    </w:p>
    <w:p>
      <w:pPr>
        <w:pStyle w:val="6"/>
        <w:widowControl/>
        <w:spacing w:before="450" w:beforeAutospacing="0" w:after="450" w:afterAutospacing="0" w:line="420" w:lineRule="atLeast"/>
        <w:ind w:firstLine="645"/>
        <w:rPr>
          <w:color w:val="auto"/>
          <w:sz w:val="32"/>
          <w:szCs w:val="32"/>
        </w:rPr>
      </w:pPr>
      <w:r>
        <w:rPr>
          <w:rFonts w:hint="eastAsia" w:ascii="黑体" w:hAnsi="宋体" w:eastAsia="黑体" w:cs="黑体"/>
          <w:color w:val="auto"/>
          <w:sz w:val="32"/>
          <w:szCs w:val="32"/>
          <w:shd w:val="clear" w:color="auto" w:fill="FFFFFF"/>
        </w:rPr>
        <w:t>三、2022年度一般公共预算财政拨款基本支出决算情况说明</w:t>
      </w:r>
    </w:p>
    <w:p>
      <w:pPr>
        <w:pStyle w:val="6"/>
        <w:widowControl/>
        <w:spacing w:before="450" w:beforeAutospacing="0" w:after="450" w:afterAutospacing="0" w:line="420" w:lineRule="atLeast"/>
        <w:ind w:firstLine="645"/>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2022年度一般公共预算财政拨款基本支出</w:t>
      </w:r>
      <w:r>
        <w:rPr>
          <w:rFonts w:hint="eastAsia" w:ascii="仿宋" w:hAnsi="仿宋" w:eastAsia="仿宋" w:cs="仿宋"/>
          <w:color w:val="auto"/>
          <w:sz w:val="31"/>
          <w:szCs w:val="31"/>
        </w:rPr>
        <w:t>111.58</w:t>
      </w:r>
      <w:r>
        <w:rPr>
          <w:rFonts w:hint="eastAsia" w:ascii="仿宋" w:hAnsi="仿宋" w:eastAsia="仿宋" w:cs="仿宋"/>
          <w:color w:val="auto"/>
          <w:sz w:val="31"/>
          <w:szCs w:val="31"/>
          <w:shd w:val="clear" w:color="auto" w:fill="FFFFFF"/>
        </w:rPr>
        <w:t>万元，其中：人员经费支出</w:t>
      </w:r>
      <w:r>
        <w:rPr>
          <w:rFonts w:hint="eastAsia" w:ascii="仿宋" w:hAnsi="仿宋" w:eastAsia="仿宋" w:cs="仿宋"/>
          <w:color w:val="auto"/>
          <w:sz w:val="31"/>
          <w:szCs w:val="31"/>
        </w:rPr>
        <w:t>103.20</w:t>
      </w:r>
      <w:r>
        <w:rPr>
          <w:rFonts w:hint="eastAsia" w:ascii="仿宋" w:hAnsi="仿宋" w:eastAsia="仿宋" w:cs="仿宋"/>
          <w:color w:val="auto"/>
          <w:sz w:val="31"/>
          <w:szCs w:val="31"/>
          <w:shd w:val="clear" w:color="auto" w:fill="FFFFFF"/>
        </w:rPr>
        <w:t>万元，公用经费支出</w:t>
      </w:r>
      <w:r>
        <w:rPr>
          <w:rFonts w:hint="eastAsia" w:ascii="仿宋" w:hAnsi="仿宋" w:eastAsia="仿宋" w:cs="仿宋"/>
          <w:color w:val="auto"/>
          <w:sz w:val="31"/>
          <w:szCs w:val="31"/>
        </w:rPr>
        <w:t>8.38</w:t>
      </w:r>
      <w:r>
        <w:rPr>
          <w:rFonts w:hint="eastAsia" w:ascii="仿宋" w:hAnsi="仿宋" w:eastAsia="仿宋" w:cs="仿宋"/>
          <w:color w:val="auto"/>
          <w:sz w:val="31"/>
          <w:szCs w:val="31"/>
          <w:shd w:val="clear" w:color="auto" w:fill="FFFFFF"/>
        </w:rPr>
        <w:t>万元，支出具体情况如下：</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w:t>
      </w:r>
      <w:r>
        <w:rPr>
          <w:rFonts w:ascii="仿宋" w:hAnsi="仿宋" w:eastAsia="仿宋" w:cs="仿宋"/>
          <w:color w:val="auto"/>
          <w:sz w:val="31"/>
          <w:u w:color="auto"/>
        </w:rPr>
        <w:t>1)工资福利支出99.38万元，完成</w:t>
      </w:r>
      <w:r>
        <w:rPr>
          <w:rFonts w:hint="eastAsia" w:ascii="仿宋" w:hAnsi="仿宋" w:eastAsia="仿宋" w:cs="仿宋"/>
          <w:color w:val="auto"/>
          <w:sz w:val="31"/>
          <w:szCs w:val="31"/>
          <w:highlight w:val="none"/>
          <w:shd w:val="clear" w:color="auto" w:fill="FFFFFF"/>
        </w:rPr>
        <w:t>年初预算的</w:t>
      </w:r>
      <w:r>
        <w:rPr>
          <w:rFonts w:ascii="仿宋" w:hAnsi="仿宋" w:eastAsia="仿宋" w:cs="仿宋"/>
          <w:color w:val="auto"/>
          <w:sz w:val="31"/>
          <w:u w:color="auto"/>
        </w:rPr>
        <w:t>153.53%，</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w:t>
      </w:r>
      <w:r>
        <w:rPr>
          <w:rFonts w:hint="eastAsia" w:ascii="仿宋" w:hAnsi="仿宋" w:eastAsia="仿宋" w:cs="仿宋"/>
          <w:color w:val="auto"/>
          <w:kern w:val="2"/>
          <w:sz w:val="31"/>
          <w:szCs w:val="31"/>
          <w:highlight w:val="none"/>
          <w:lang w:val="en-US" w:eastAsia="zh-CN" w:bidi="ar"/>
        </w:rPr>
        <w:t>年中调资。</w:t>
      </w:r>
    </w:p>
    <w:p>
      <w:pPr>
        <w:pStyle w:val="6"/>
        <w:widowControl/>
        <w:spacing w:before="450" w:beforeAutospacing="0" w:after="450" w:afterAutospacing="0" w:line="420" w:lineRule="atLeast"/>
        <w:ind w:firstLine="645"/>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其中：</w:t>
      </w:r>
      <w:r>
        <w:rPr>
          <w:rFonts w:ascii="仿宋" w:hAnsi="仿宋" w:eastAsia="仿宋" w:cs="仿宋"/>
          <w:color w:val="auto"/>
          <w:sz w:val="31"/>
          <w:u w:color="auto"/>
        </w:rPr>
        <w:t>30101基本工资26.96万元，30102津贴补贴4.71万元，30103奖金26.69万元，30106伙食补助费0.00万元，30107绩效工资18.43万元，30108机关事业单位基本养老保险缴费10.63万元，30109职业年金缴费0.00万元，30110职工基本医疗保险缴费3.12万元，30111公务员医疗补助缴费0.00万元，30112其他社会保障缴费0.26万元，30113住房公积金8.58万元，30114医疗费0.00万元，30199其他工资福利支出0.00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w:t>
      </w:r>
      <w:r>
        <w:rPr>
          <w:rFonts w:ascii="仿宋" w:hAnsi="仿宋" w:eastAsia="仿宋" w:cs="仿宋"/>
          <w:color w:val="auto"/>
          <w:sz w:val="31"/>
          <w:u w:color="auto"/>
        </w:rPr>
        <w:t>2)商品和服务支出8.38万元，完成</w:t>
      </w:r>
      <w:r>
        <w:rPr>
          <w:rFonts w:hint="eastAsia" w:ascii="仿宋" w:hAnsi="仿宋" w:eastAsia="仿宋" w:cs="仿宋"/>
          <w:color w:val="auto"/>
          <w:sz w:val="31"/>
          <w:szCs w:val="31"/>
          <w:highlight w:val="none"/>
          <w:shd w:val="clear" w:color="auto" w:fill="FFFFFF"/>
        </w:rPr>
        <w:t>年初预算的</w:t>
      </w:r>
      <w:r>
        <w:rPr>
          <w:rFonts w:ascii="仿宋" w:hAnsi="仿宋" w:eastAsia="仿宋" w:cs="仿宋"/>
          <w:color w:val="auto"/>
          <w:sz w:val="31"/>
          <w:u w:color="auto"/>
        </w:rPr>
        <w:t>99.17%，</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w:t>
      </w:r>
      <w:r>
        <w:rPr>
          <w:rFonts w:hint="eastAsia" w:ascii="仿宋" w:hAnsi="仿宋" w:eastAsia="仿宋" w:cs="仿宋"/>
          <w:color w:val="auto"/>
          <w:kern w:val="2"/>
          <w:sz w:val="31"/>
          <w:szCs w:val="31"/>
          <w:highlight w:val="none"/>
          <w:lang w:val="en-US" w:eastAsia="zh-CN" w:bidi="ar"/>
        </w:rPr>
        <w:t>公用定额经费调减。</w:t>
      </w:r>
    </w:p>
    <w:p>
      <w:pPr>
        <w:pStyle w:val="6"/>
        <w:widowControl/>
        <w:spacing w:before="450" w:beforeAutospacing="0" w:after="450" w:afterAutospacing="0" w:line="420" w:lineRule="atLeast"/>
        <w:ind w:firstLine="645"/>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其中：</w:t>
      </w:r>
      <w:r>
        <w:rPr>
          <w:rFonts w:ascii="仿宋" w:hAnsi="仿宋" w:eastAsia="仿宋" w:cs="仿宋"/>
          <w:color w:val="auto"/>
          <w:sz w:val="31"/>
          <w:u w:color="auto"/>
        </w:rPr>
        <w:t>30201办公费2.04万元，30202印刷费0.00万元，30203咨询费0.00万元，30204手续费0.00万元，30205水费0.36万元，30206电费0.48万元，30207邮电费0.41万元，30208取暖费0.00万元，30209物业管理费0.00万元，30211差旅费1.01万元，30212因公出国（境）费用0.00万元，30213维修（护）费0.63万元，30214租赁费0.00万元，30215会议费0.00万元，30216培训费0.00万元，30217公务接待费0.00万元，30218专用材料费0.00万元，30224被装购置费0.00万元，30225专用燃料费0.00万元，30226劳务费0.00万元，30227委托业务费0.00万元，30228工会经费0.00万元，30229福利费1.15万元，30231公务用车运行维护费0.00万元，30239其他交通费用0.00万元，30240税金及附加费用0.00万元，30299其他商品和服务支出2.31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w:t>
      </w:r>
      <w:r>
        <w:rPr>
          <w:rFonts w:ascii="仿宋" w:hAnsi="仿宋" w:eastAsia="仿宋" w:cs="仿宋"/>
          <w:color w:val="auto"/>
          <w:sz w:val="31"/>
          <w:u w:color="auto"/>
        </w:rPr>
        <w:t>3)对个人和家庭的补助3.82万元，完成</w:t>
      </w:r>
      <w:r>
        <w:rPr>
          <w:rFonts w:hint="eastAsia" w:ascii="仿宋" w:hAnsi="仿宋" w:eastAsia="仿宋" w:cs="仿宋"/>
          <w:color w:val="auto"/>
          <w:sz w:val="31"/>
          <w:szCs w:val="31"/>
          <w:highlight w:val="none"/>
          <w:shd w:val="clear" w:color="auto" w:fill="FFFFFF"/>
        </w:rPr>
        <w:t>年初预算的</w:t>
      </w:r>
      <w:r>
        <w:rPr>
          <w:rFonts w:ascii="仿宋" w:hAnsi="仿宋" w:eastAsia="仿宋" w:cs="仿宋"/>
          <w:color w:val="auto"/>
          <w:sz w:val="31"/>
          <w:u w:color="auto"/>
        </w:rPr>
        <w:t>125.25%，</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w:t>
      </w:r>
      <w:r>
        <w:rPr>
          <w:rFonts w:hint="eastAsia" w:ascii="仿宋" w:hAnsi="仿宋" w:eastAsia="仿宋" w:cs="仿宋"/>
          <w:color w:val="auto"/>
          <w:kern w:val="2"/>
          <w:sz w:val="31"/>
          <w:szCs w:val="31"/>
          <w:highlight w:val="none"/>
          <w:lang w:val="en-US" w:eastAsia="zh-CN" w:bidi="ar"/>
        </w:rPr>
        <w:t>退休费增加。</w:t>
      </w:r>
    </w:p>
    <w:p>
      <w:pPr>
        <w:pStyle w:val="6"/>
        <w:widowControl/>
        <w:spacing w:before="450" w:beforeAutospacing="0" w:after="450" w:afterAutospacing="0" w:line="420" w:lineRule="atLeast"/>
        <w:ind w:firstLine="645"/>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其中：</w:t>
      </w:r>
      <w:r>
        <w:rPr>
          <w:rFonts w:ascii="仿宋" w:hAnsi="仿宋" w:eastAsia="仿宋" w:cs="仿宋"/>
          <w:color w:val="auto"/>
          <w:sz w:val="31"/>
          <w:u w:color="auto"/>
        </w:rPr>
        <w:t>30301离休费0.00万元，30302退休费3.82万元，30303退职（役）费0.00万元，30304抚恤金0.00万元，30305生活补助0.00万元，30306救济费0.00万元，30307医疗费补助0.00万元，30308助学金0.00万元，30309奖励金0.00万元，30310个人农业生产补贴0.00万元，30311代缴社会保险费0.00万元，30399其他对个人和家庭的补助0.00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w:t>
      </w:r>
      <w:r>
        <w:rPr>
          <w:rFonts w:ascii="仿宋" w:hAnsi="仿宋" w:eastAsia="仿宋" w:cs="仿宋"/>
          <w:color w:val="auto"/>
          <w:sz w:val="31"/>
          <w:u w:color="auto"/>
        </w:rPr>
        <w:t>4)债务利息及费用支出0.00万元，完成</w:t>
      </w:r>
      <w:r>
        <w:rPr>
          <w:rFonts w:hint="eastAsia" w:ascii="仿宋" w:hAnsi="仿宋" w:eastAsia="仿宋" w:cs="仿宋"/>
          <w:color w:val="auto"/>
          <w:sz w:val="31"/>
          <w:szCs w:val="31"/>
          <w:highlight w:val="none"/>
          <w:shd w:val="clear" w:color="auto" w:fill="FFFFFF"/>
        </w:rPr>
        <w:t>年初预算的</w:t>
      </w:r>
      <w:r>
        <w:rPr>
          <w:rFonts w:ascii="仿宋" w:hAnsi="仿宋" w:eastAsia="仿宋" w:cs="仿宋"/>
          <w:color w:val="auto"/>
          <w:sz w:val="31"/>
          <w:u w:color="auto"/>
        </w:rPr>
        <w:t>0%，</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原因是：无</w:t>
      </w:r>
      <w:r>
        <w:rPr>
          <w:rFonts w:ascii="仿宋" w:hAnsi="仿宋" w:eastAsia="仿宋" w:cs="仿宋"/>
          <w:color w:val="auto"/>
          <w:sz w:val="31"/>
          <w:u w:color="auto"/>
        </w:rPr>
        <w:t>债务利息及费用支出</w:t>
      </w:r>
      <w:r>
        <w:rPr>
          <w:rFonts w:hint="eastAsia" w:ascii="仿宋" w:hAnsi="仿宋" w:eastAsia="仿宋" w:cs="仿宋"/>
          <w:color w:val="auto"/>
          <w:kern w:val="2"/>
          <w:sz w:val="31"/>
          <w:szCs w:val="31"/>
          <w:highlight w:val="none"/>
          <w:lang w:val="en-US" w:eastAsia="zh-CN" w:bidi="ar"/>
        </w:rPr>
        <w:t>。</w:t>
      </w:r>
    </w:p>
    <w:p>
      <w:pPr>
        <w:pStyle w:val="6"/>
        <w:widowControl/>
        <w:spacing w:before="450" w:beforeAutospacing="0" w:after="450" w:afterAutospacing="0" w:line="420" w:lineRule="atLeast"/>
        <w:ind w:firstLine="645"/>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其中：</w:t>
      </w:r>
      <w:r>
        <w:rPr>
          <w:rFonts w:ascii="仿宋" w:hAnsi="仿宋" w:eastAsia="仿宋" w:cs="仿宋"/>
          <w:color w:val="auto"/>
          <w:sz w:val="31"/>
          <w:u w:color="auto"/>
        </w:rPr>
        <w:t>30701国内债务付息0.00万元，30702国外债务付息0.00万元。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w:t>
      </w:r>
      <w:r>
        <w:rPr>
          <w:rFonts w:ascii="仿宋" w:hAnsi="仿宋" w:eastAsia="仿宋" w:cs="仿宋"/>
          <w:color w:val="auto"/>
          <w:sz w:val="31"/>
          <w:u w:color="auto"/>
        </w:rPr>
        <w:t>5)资本性支出0.00万元，完成</w:t>
      </w:r>
      <w:r>
        <w:rPr>
          <w:rFonts w:hint="eastAsia" w:ascii="仿宋" w:hAnsi="仿宋" w:eastAsia="仿宋" w:cs="仿宋"/>
          <w:color w:val="auto"/>
          <w:sz w:val="31"/>
          <w:szCs w:val="31"/>
          <w:highlight w:val="none"/>
          <w:shd w:val="clear" w:color="auto" w:fill="FFFFFF"/>
        </w:rPr>
        <w:t>年初预算的</w:t>
      </w:r>
      <w:r>
        <w:rPr>
          <w:rFonts w:ascii="仿宋" w:hAnsi="仿宋" w:eastAsia="仿宋" w:cs="仿宋"/>
          <w:color w:val="auto"/>
          <w:sz w:val="31"/>
          <w:u w:color="auto"/>
        </w:rPr>
        <w:t>0%，</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原因是：无</w:t>
      </w:r>
      <w:r>
        <w:rPr>
          <w:rFonts w:ascii="仿宋" w:hAnsi="仿宋" w:eastAsia="仿宋" w:cs="仿宋"/>
          <w:color w:val="auto"/>
          <w:sz w:val="31"/>
          <w:u w:color="auto"/>
        </w:rPr>
        <w:t>资本性支出</w:t>
      </w:r>
      <w:r>
        <w:rPr>
          <w:rFonts w:hint="eastAsia" w:ascii="仿宋" w:hAnsi="仿宋" w:eastAsia="仿宋" w:cs="仿宋"/>
          <w:color w:val="auto"/>
          <w:kern w:val="2"/>
          <w:sz w:val="31"/>
          <w:szCs w:val="31"/>
          <w:highlight w:val="none"/>
          <w:lang w:val="en-US" w:eastAsia="zh-CN" w:bidi="ar"/>
        </w:rPr>
        <w:t>。</w:t>
      </w:r>
    </w:p>
    <w:p>
      <w:pPr>
        <w:pStyle w:val="6"/>
        <w:widowControl/>
        <w:spacing w:before="450" w:beforeAutospacing="0" w:after="450" w:afterAutospacing="0" w:line="420" w:lineRule="atLeast"/>
        <w:ind w:firstLine="645"/>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其中：</w:t>
      </w:r>
      <w:r>
        <w:rPr>
          <w:rFonts w:ascii="仿宋" w:hAnsi="仿宋" w:eastAsia="仿宋" w:cs="仿宋"/>
          <w:color w:val="auto"/>
          <w:sz w:val="31"/>
          <w:u w:color="auto"/>
        </w:rPr>
        <w:t>31001房屋建筑物购建0.00万元，31002办公设备购置0.00万元，31003专用设备购置0.00万元，31005基础设施建设0.00万元，31006大型修缮0.00万元，31007信息网络及软件购置更新0.00万元，31008物资储备0.00万元，31009土地补偿0.00万元，31010安置补助0.00万元，31011地上附着物和青苗补偿0.00万元，31012拆迁补偿0.00万元，31013公务用车购置0.00万元，31019其他交通工具购置0.00万元，31021文物和陈列品购置0.00万元，31022无形资产购置0.00万元，31099其他资本性支出0.00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w:t>
      </w:r>
      <w:r>
        <w:rPr>
          <w:rFonts w:ascii="仿宋" w:hAnsi="仿宋" w:eastAsia="仿宋" w:cs="仿宋"/>
          <w:color w:val="auto"/>
          <w:sz w:val="31"/>
          <w:u w:color="auto"/>
        </w:rPr>
        <w:t>6)其他支出0.00万元，完成</w:t>
      </w:r>
      <w:r>
        <w:rPr>
          <w:rFonts w:hint="eastAsia" w:ascii="仿宋" w:hAnsi="仿宋" w:eastAsia="仿宋" w:cs="仿宋"/>
          <w:color w:val="auto"/>
          <w:sz w:val="31"/>
          <w:szCs w:val="31"/>
          <w:highlight w:val="none"/>
          <w:shd w:val="clear" w:color="auto" w:fill="FFFFFF"/>
        </w:rPr>
        <w:t>年初预算的</w:t>
      </w:r>
      <w:r>
        <w:rPr>
          <w:rFonts w:ascii="仿宋" w:hAnsi="仿宋" w:eastAsia="仿宋" w:cs="仿宋"/>
          <w:color w:val="auto"/>
          <w:sz w:val="31"/>
          <w:u w:color="auto"/>
        </w:rPr>
        <w:t>0%，</w:t>
      </w:r>
      <w:r>
        <w:rPr>
          <w:rFonts w:hint="eastAsia" w:ascii="仿宋" w:hAnsi="仿宋" w:eastAsia="仿宋" w:cs="仿宋"/>
          <w:color w:val="auto"/>
          <w:sz w:val="31"/>
          <w:szCs w:val="31"/>
          <w:shd w:val="clear" w:color="auto" w:fill="FFFFFF"/>
          <w:lang w:val="en-US" w:eastAsia="zh-CN"/>
        </w:rPr>
        <w:t>形成</w:t>
      </w:r>
      <w:r>
        <w:rPr>
          <w:rFonts w:hint="eastAsia" w:ascii="仿宋" w:hAnsi="仿宋" w:eastAsia="仿宋" w:cs="仿宋"/>
          <w:color w:val="auto"/>
          <w:sz w:val="31"/>
          <w:szCs w:val="31"/>
          <w:highlight w:val="none"/>
        </w:rPr>
        <w:t>预决算差异</w:t>
      </w:r>
      <w:r>
        <w:rPr>
          <w:rFonts w:hint="eastAsia" w:ascii="仿宋" w:hAnsi="仿宋" w:eastAsia="仿宋" w:cs="仿宋"/>
          <w:color w:val="auto"/>
          <w:sz w:val="31"/>
          <w:szCs w:val="31"/>
          <w:highlight w:val="none"/>
          <w:lang w:val="en-US" w:eastAsia="zh-CN"/>
        </w:rPr>
        <w:t>原因是：无</w:t>
      </w:r>
      <w:r>
        <w:rPr>
          <w:rFonts w:ascii="仿宋" w:hAnsi="仿宋" w:eastAsia="仿宋" w:cs="仿宋"/>
          <w:color w:val="auto"/>
          <w:sz w:val="31"/>
          <w:u w:color="auto"/>
        </w:rPr>
        <w:t>其他支出</w:t>
      </w:r>
      <w:r>
        <w:rPr>
          <w:rFonts w:hint="eastAsia" w:ascii="仿宋" w:hAnsi="仿宋" w:eastAsia="仿宋" w:cs="仿宋"/>
          <w:color w:val="auto"/>
          <w:kern w:val="2"/>
          <w:sz w:val="31"/>
          <w:szCs w:val="31"/>
          <w:highlight w:val="none"/>
          <w:lang w:val="en-US" w:eastAsia="zh-CN" w:bidi="ar"/>
        </w:rPr>
        <w:t>。</w:t>
      </w:r>
    </w:p>
    <w:p>
      <w:pPr>
        <w:pStyle w:val="6"/>
        <w:widowControl/>
        <w:spacing w:before="450" w:beforeAutospacing="0" w:after="450" w:afterAutospacing="0" w:line="420" w:lineRule="atLeast"/>
        <w:ind w:firstLine="645"/>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其中：</w:t>
      </w:r>
      <w:r>
        <w:rPr>
          <w:rFonts w:ascii="仿宋" w:hAnsi="仿宋" w:eastAsia="仿宋" w:cs="仿宋"/>
          <w:color w:val="auto"/>
          <w:sz w:val="31"/>
          <w:u w:color="auto"/>
        </w:rPr>
        <w:t>39907国家赔偿费用支出0.00万元，39908对民间非营利组织和群众性自治组织补贴0.00万元，39909经常性赠与0.00万元，39910资本性赠与0.00万元，39999其他支出0.00万元。</w:t>
      </w:r>
    </w:p>
    <w:p>
      <w:pPr>
        <w:autoSpaceDE w:val="0"/>
        <w:autoSpaceDN w:val="0"/>
        <w:adjustRightInd w:val="0"/>
        <w:spacing w:line="560" w:lineRule="exact"/>
        <w:ind w:firstLine="640" w:firstLineChars="200"/>
        <w:jc w:val="left"/>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四、2022年度政府性基金支出决算情况</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i w:val="0"/>
          <w:iCs w:val="0"/>
          <w:color w:val="auto"/>
          <w:sz w:val="31"/>
          <w:szCs w:val="31"/>
          <w:u w:val="single"/>
          <w:shd w:val="clear" w:color="auto" w:fill="FFFFFF"/>
        </w:rPr>
        <w:t>百色起义革命旧址管理处</w:t>
      </w:r>
      <w:r>
        <w:rPr>
          <w:rFonts w:hint="eastAsia" w:ascii="仿宋" w:hAnsi="仿宋" w:eastAsia="仿宋" w:cs="仿宋"/>
          <w:i w:val="0"/>
          <w:iCs w:val="0"/>
          <w:color w:val="auto"/>
          <w:kern w:val="0"/>
          <w:sz w:val="31"/>
          <w:szCs w:val="31"/>
        </w:rPr>
        <w:t>2022年度政府性基</w:t>
      </w:r>
      <w:r>
        <w:rPr>
          <w:rFonts w:hint="eastAsia" w:ascii="仿宋" w:hAnsi="仿宋" w:eastAsia="仿宋" w:cs="仿宋"/>
          <w:color w:val="auto"/>
          <w:kern w:val="0"/>
          <w:sz w:val="31"/>
          <w:szCs w:val="31"/>
        </w:rPr>
        <w:t>金支出</w:t>
      </w:r>
      <w:r>
        <w:rPr>
          <w:rFonts w:ascii="仿宋" w:hAnsi="仿宋" w:eastAsia="仿宋" w:cs="仿宋"/>
          <w:color w:val="auto"/>
          <w:sz w:val="31"/>
          <w:u w:color="auto"/>
        </w:rPr>
        <w:t>0.00万元，较2021年度决算数增加0.00万元，增长0%。其中：基本支出0.00万元，项目支出0.00万元。</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sz w:val="31"/>
          <w:szCs w:val="31"/>
          <w:u w:val="single"/>
          <w:shd w:val="clear" w:color="auto" w:fill="FFFFFF"/>
        </w:rPr>
        <w:t>百色起义革命旧址管理处</w:t>
      </w:r>
      <w:r>
        <w:rPr>
          <w:rFonts w:hint="eastAsia" w:ascii="仿宋" w:hAnsi="仿宋" w:eastAsia="仿宋" w:cs="仿宋"/>
          <w:color w:val="auto"/>
          <w:kern w:val="0"/>
          <w:sz w:val="31"/>
          <w:szCs w:val="31"/>
        </w:rPr>
        <w:t>2022 年度政府性基金支出年初预算为</w:t>
      </w:r>
      <w:r>
        <w:rPr>
          <w:rFonts w:ascii="仿宋" w:hAnsi="仿宋" w:eastAsia="仿宋" w:cs="仿宋"/>
          <w:color w:val="auto"/>
          <w:sz w:val="31"/>
          <w:u w:color="auto"/>
        </w:rPr>
        <w:t>0.00万元，支出决算为0.00万元，完成年初预算的0%。</w:t>
      </w:r>
    </w:p>
    <w:p>
      <w:pPr>
        <w:autoSpaceDE w:val="0"/>
        <w:autoSpaceDN w:val="0"/>
        <w:adjustRightInd w:val="0"/>
        <w:spacing w:line="560" w:lineRule="exact"/>
        <w:ind w:firstLine="640" w:firstLineChars="200"/>
        <w:jc w:val="left"/>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五、2022年度国有资本经营预算支出决算情况</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sz w:val="31"/>
          <w:szCs w:val="31"/>
          <w:u w:val="single"/>
          <w:shd w:val="clear" w:color="auto" w:fill="FFFFFF"/>
        </w:rPr>
        <w:t>百色起义革命旧址管理处</w:t>
      </w:r>
      <w:r>
        <w:rPr>
          <w:rFonts w:hint="eastAsia" w:ascii="仿宋" w:hAnsi="仿宋" w:eastAsia="仿宋" w:cs="仿宋"/>
          <w:color w:val="auto"/>
          <w:kern w:val="0"/>
          <w:sz w:val="31"/>
          <w:szCs w:val="31"/>
        </w:rPr>
        <w:t>2022年度国有资本经营预算支出</w:t>
      </w:r>
      <w:r>
        <w:rPr>
          <w:rFonts w:hint="eastAsia" w:ascii="仿宋" w:hAnsi="仿宋" w:eastAsia="仿宋" w:cs="仿宋"/>
          <w:color w:val="auto"/>
          <w:sz w:val="31"/>
          <w:szCs w:val="31"/>
        </w:rPr>
        <w:t>0.00</w:t>
      </w:r>
      <w:r>
        <w:rPr>
          <w:rFonts w:hint="eastAsia" w:ascii="仿宋" w:hAnsi="仿宋" w:eastAsia="仿宋" w:cs="仿宋"/>
          <w:color w:val="auto"/>
          <w:kern w:val="0"/>
          <w:sz w:val="31"/>
          <w:szCs w:val="31"/>
        </w:rPr>
        <w:t>万元。其中：基本支出</w:t>
      </w:r>
      <w:r>
        <w:rPr>
          <w:rFonts w:hint="eastAsia" w:ascii="仿宋" w:hAnsi="仿宋" w:eastAsia="仿宋" w:cs="仿宋"/>
          <w:color w:val="auto"/>
          <w:sz w:val="31"/>
          <w:szCs w:val="31"/>
        </w:rPr>
        <w:t>0.00</w:t>
      </w:r>
      <w:r>
        <w:rPr>
          <w:rFonts w:hint="eastAsia" w:ascii="仿宋" w:hAnsi="仿宋" w:eastAsia="仿宋" w:cs="仿宋"/>
          <w:color w:val="auto"/>
          <w:kern w:val="0"/>
          <w:sz w:val="31"/>
          <w:szCs w:val="31"/>
        </w:rPr>
        <w:t>万元，项目支出</w:t>
      </w:r>
      <w:r>
        <w:rPr>
          <w:rFonts w:hint="eastAsia" w:ascii="仿宋" w:hAnsi="仿宋" w:eastAsia="仿宋" w:cs="仿宋"/>
          <w:color w:val="auto"/>
          <w:sz w:val="31"/>
          <w:szCs w:val="31"/>
        </w:rPr>
        <w:t>0.00</w:t>
      </w:r>
      <w:r>
        <w:rPr>
          <w:rFonts w:hint="eastAsia" w:ascii="仿宋" w:hAnsi="仿宋" w:eastAsia="仿宋" w:cs="仿宋"/>
          <w:color w:val="auto"/>
          <w:kern w:val="0"/>
          <w:sz w:val="31"/>
          <w:szCs w:val="31"/>
        </w:rPr>
        <w:t>万元。</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sz w:val="31"/>
          <w:szCs w:val="31"/>
          <w:u w:val="single"/>
          <w:shd w:val="clear" w:color="auto" w:fill="FFFFFF"/>
        </w:rPr>
        <w:t>百色起义革命旧址管理处</w:t>
      </w:r>
      <w:r>
        <w:rPr>
          <w:rFonts w:hint="eastAsia" w:ascii="仿宋" w:hAnsi="仿宋" w:eastAsia="仿宋" w:cs="仿宋"/>
          <w:color w:val="auto"/>
          <w:kern w:val="0"/>
          <w:sz w:val="31"/>
          <w:szCs w:val="31"/>
        </w:rPr>
        <w:t>2022 年度国有资本经营预算支出年初预算为</w:t>
      </w:r>
      <w:r>
        <w:rPr>
          <w:rFonts w:ascii="仿宋" w:hAnsi="仿宋" w:eastAsia="仿宋" w:cs="仿宋"/>
          <w:color w:val="auto"/>
          <w:sz w:val="31"/>
          <w:u w:color="auto"/>
        </w:rPr>
        <w:t>0.00万元，支出决算为0.00万元，完成年初预算的0%</w:t>
      </w:r>
      <w:r>
        <w:rPr>
          <w:rFonts w:hint="eastAsia" w:ascii="仿宋" w:hAnsi="仿宋" w:eastAsia="仿宋" w:cs="仿宋"/>
          <w:color w:val="auto"/>
          <w:kern w:val="0"/>
          <w:sz w:val="31"/>
          <w:szCs w:val="31"/>
        </w:rPr>
        <w:t>。</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sz w:val="31"/>
          <w:szCs w:val="31"/>
          <w:u w:val="single"/>
          <w:shd w:val="clear" w:color="auto" w:fill="FFFFFF"/>
        </w:rPr>
        <w:t>百色起义革命旧址管理处</w:t>
      </w:r>
      <w:r>
        <w:rPr>
          <w:rFonts w:hint="eastAsia" w:ascii="仿宋" w:hAnsi="仿宋" w:eastAsia="仿宋" w:cs="仿宋"/>
          <w:b/>
          <w:bCs/>
          <w:color w:val="auto"/>
          <w:kern w:val="0"/>
          <w:sz w:val="31"/>
          <w:szCs w:val="31"/>
          <w:lang w:val="en-US" w:eastAsia="zh-CN" w:bidi="ar"/>
        </w:rPr>
        <w:t>2022年度没有没有</w:t>
      </w:r>
      <w:r>
        <w:rPr>
          <w:rFonts w:hint="eastAsia" w:ascii="仿宋" w:hAnsi="仿宋" w:eastAsia="仿宋" w:cs="仿宋"/>
          <w:b/>
          <w:bCs w:val="0"/>
          <w:color w:val="auto"/>
          <w:kern w:val="0"/>
          <w:sz w:val="31"/>
          <w:szCs w:val="31"/>
          <w:lang w:val="en-US" w:eastAsia="zh-CN" w:bidi="ar"/>
        </w:rPr>
        <w:t>国有资本经营预算财政拨款</w:t>
      </w:r>
      <w:r>
        <w:rPr>
          <w:rFonts w:hint="eastAsia" w:ascii="仿宋" w:hAnsi="仿宋" w:eastAsia="仿宋" w:cs="仿宋"/>
          <w:b/>
          <w:bCs/>
          <w:color w:val="auto"/>
          <w:kern w:val="0"/>
          <w:sz w:val="31"/>
          <w:szCs w:val="31"/>
          <w:lang w:val="en-US" w:eastAsia="zh-CN" w:bidi="ar"/>
        </w:rPr>
        <w:t>收入，也没有</w:t>
      </w:r>
      <w:r>
        <w:rPr>
          <w:rFonts w:hint="eastAsia" w:ascii="仿宋" w:hAnsi="仿宋" w:eastAsia="仿宋" w:cs="仿宋"/>
          <w:b/>
          <w:bCs w:val="0"/>
          <w:color w:val="auto"/>
          <w:kern w:val="0"/>
          <w:sz w:val="31"/>
          <w:szCs w:val="31"/>
          <w:lang w:val="en-US" w:eastAsia="zh-CN" w:bidi="ar"/>
        </w:rPr>
        <w:t>国有资本经营预算财政拨款安排</w:t>
      </w:r>
      <w:r>
        <w:rPr>
          <w:rFonts w:hint="eastAsia" w:ascii="仿宋" w:hAnsi="仿宋" w:eastAsia="仿宋" w:cs="仿宋"/>
          <w:b/>
          <w:bCs/>
          <w:color w:val="auto"/>
          <w:kern w:val="0"/>
          <w:sz w:val="31"/>
          <w:szCs w:val="31"/>
          <w:lang w:val="en-US" w:eastAsia="zh-CN" w:bidi="ar"/>
        </w:rPr>
        <w:t>的支出，故无数据情况说明</w:t>
      </w:r>
      <w:r>
        <w:rPr>
          <w:rFonts w:hint="eastAsia" w:ascii="仿宋" w:hAnsi="仿宋" w:eastAsia="仿宋" w:cs="仿宋"/>
          <w:color w:val="auto"/>
          <w:kern w:val="0"/>
          <w:sz w:val="31"/>
          <w:szCs w:val="31"/>
          <w:lang w:val="en-US" w:eastAsia="zh-CN" w:bidi="ar"/>
        </w:rPr>
        <w:t xml:space="preserve">。 </w:t>
      </w:r>
    </w:p>
    <w:p>
      <w:pPr>
        <w:autoSpaceDE w:val="0"/>
        <w:autoSpaceDN w:val="0"/>
        <w:adjustRightInd w:val="0"/>
        <w:spacing w:line="560" w:lineRule="exact"/>
        <w:ind w:firstLine="640" w:firstLineChars="200"/>
        <w:jc w:val="left"/>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六、</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公共预算财政拨款安排的“三公”经费支出决算情况说明</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2022年度</w:t>
      </w:r>
      <w:r>
        <w:rPr>
          <w:rFonts w:hint="eastAsia" w:ascii="仿宋" w:hAnsi="仿宋" w:eastAsia="仿宋" w:cs="仿宋"/>
          <w:color w:val="auto"/>
          <w:sz w:val="31"/>
          <w:szCs w:val="31"/>
        </w:rPr>
        <w:t>一般</w:t>
      </w:r>
      <w:r>
        <w:rPr>
          <w:rFonts w:hint="eastAsia" w:ascii="仿宋" w:hAnsi="仿宋" w:eastAsia="仿宋" w:cs="仿宋"/>
          <w:color w:val="auto"/>
          <w:kern w:val="0"/>
          <w:sz w:val="31"/>
          <w:szCs w:val="31"/>
        </w:rPr>
        <w:t>公共预算财政拨款安排的“三公”经费支出</w:t>
      </w:r>
      <w:r>
        <w:rPr>
          <w:rFonts w:ascii="仿宋" w:hAnsi="仿宋" w:eastAsia="仿宋" w:cs="仿宋"/>
          <w:color w:val="auto"/>
          <w:sz w:val="31"/>
          <w:u w:color="auto"/>
        </w:rPr>
        <w:t>0.00万元，完成年初预算的0%，比上年增加0.00万元，</w:t>
      </w:r>
      <w:r>
        <w:rPr>
          <w:rFonts w:hint="eastAsia" w:ascii="仿宋" w:hAnsi="仿宋" w:eastAsia="仿宋" w:cs="仿宋"/>
          <w:color w:val="auto"/>
          <w:kern w:val="2"/>
          <w:sz w:val="31"/>
          <w:szCs w:val="31"/>
          <w:highlight w:val="none"/>
          <w:lang w:val="en-US" w:eastAsia="zh-CN" w:bidi="ar"/>
        </w:rPr>
        <w:t>原因是：</w:t>
      </w:r>
      <w:r>
        <w:rPr>
          <w:rFonts w:hint="eastAsia" w:ascii="仿宋_GB2312" w:eastAsia="仿宋_GB2312" w:cs="仿宋_GB2312"/>
          <w:color w:val="auto"/>
          <w:kern w:val="0"/>
          <w:sz w:val="32"/>
          <w:szCs w:val="32"/>
        </w:rPr>
        <w:t>与上年决算持平，无增减变动</w:t>
      </w:r>
      <w:r>
        <w:rPr>
          <w:rFonts w:hint="eastAsia" w:ascii="仿宋" w:hAnsi="仿宋" w:eastAsia="仿宋" w:cs="仿宋"/>
          <w:color w:val="auto"/>
          <w:kern w:val="2"/>
          <w:sz w:val="31"/>
          <w:szCs w:val="31"/>
          <w:highlight w:val="none"/>
          <w:lang w:val="en-US" w:eastAsia="zh-CN" w:bidi="ar"/>
        </w:rPr>
        <w:t>。</w:t>
      </w:r>
      <w:r>
        <w:rPr>
          <w:rFonts w:hint="eastAsia" w:ascii="仿宋" w:hAnsi="仿宋" w:eastAsia="仿宋" w:cs="仿宋"/>
          <w:color w:val="auto"/>
          <w:kern w:val="0"/>
          <w:sz w:val="31"/>
          <w:szCs w:val="31"/>
        </w:rPr>
        <w:t>其中：因公出国（境）费支出决算</w:t>
      </w:r>
      <w:r>
        <w:rPr>
          <w:rFonts w:ascii="仿宋" w:hAnsi="仿宋" w:eastAsia="仿宋" w:cs="仿宋"/>
          <w:color w:val="auto"/>
          <w:sz w:val="31"/>
          <w:u w:color="auto"/>
        </w:rPr>
        <w:t>0.00万元，公务用车购置及运行费支出决算0.00万元，公务接待费支出决算0.00万元。</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具体情况如下：</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（一）因公出国（境）费支出</w:t>
      </w:r>
      <w:r>
        <w:rPr>
          <w:rFonts w:ascii="仿宋" w:hAnsi="仿宋" w:eastAsia="仿宋" w:cs="仿宋"/>
          <w:color w:val="auto"/>
          <w:sz w:val="31"/>
          <w:u w:color="auto"/>
        </w:rPr>
        <w:t>0.00万元，完成年初预算的0%</w:t>
      </w:r>
      <w:r>
        <w:rPr>
          <w:rFonts w:hint="eastAsia" w:ascii="仿宋" w:hAnsi="仿宋" w:eastAsia="仿宋" w:cs="仿宋"/>
          <w:color w:val="auto"/>
          <w:kern w:val="0"/>
          <w:sz w:val="31"/>
          <w:szCs w:val="31"/>
        </w:rPr>
        <w:t>，比上年</w:t>
      </w:r>
      <w:r>
        <w:rPr>
          <w:rFonts w:ascii="仿宋" w:hAnsi="仿宋" w:eastAsia="仿宋" w:cs="仿宋"/>
          <w:color w:val="auto"/>
          <w:sz w:val="31"/>
          <w:u w:color="auto"/>
        </w:rPr>
        <w:t>增加0.00万元，</w:t>
      </w:r>
      <w:r>
        <w:rPr>
          <w:rFonts w:hint="eastAsia" w:ascii="仿宋" w:hAnsi="仿宋" w:eastAsia="仿宋" w:cs="仿宋"/>
          <w:color w:val="auto"/>
          <w:kern w:val="2"/>
          <w:sz w:val="31"/>
          <w:szCs w:val="31"/>
          <w:highlight w:val="none"/>
          <w:lang w:val="en-US" w:eastAsia="zh-CN" w:bidi="ar"/>
        </w:rPr>
        <w:t>原因是：</w:t>
      </w:r>
      <w:r>
        <w:rPr>
          <w:rFonts w:hint="eastAsia" w:ascii="仿宋_GB2312" w:eastAsia="仿宋_GB2312" w:cs="仿宋_GB2312"/>
          <w:color w:val="auto"/>
          <w:kern w:val="0"/>
          <w:sz w:val="32"/>
          <w:szCs w:val="32"/>
        </w:rPr>
        <w:t>与上年决算持平，无增减变动</w:t>
      </w:r>
      <w:r>
        <w:rPr>
          <w:rFonts w:hint="eastAsia" w:ascii="仿宋" w:hAnsi="仿宋" w:eastAsia="仿宋" w:cs="仿宋"/>
          <w:bCs/>
          <w:color w:val="auto"/>
          <w:sz w:val="31"/>
          <w:szCs w:val="31"/>
        </w:rPr>
        <w:t>，全年因公出国（境）团组共计</w:t>
      </w:r>
      <w:r>
        <w:rPr>
          <w:rFonts w:hint="eastAsia" w:ascii="仿宋" w:hAnsi="仿宋" w:eastAsia="仿宋" w:cs="仿宋"/>
          <w:bCs/>
          <w:color w:val="auto"/>
          <w:sz w:val="31"/>
          <w:szCs w:val="31"/>
          <w:u w:val="single"/>
        </w:rPr>
        <w:t>0</w:t>
      </w:r>
      <w:r>
        <w:rPr>
          <w:rFonts w:hint="eastAsia" w:ascii="仿宋" w:hAnsi="仿宋" w:eastAsia="仿宋" w:cs="仿宋"/>
          <w:bCs/>
          <w:color w:val="auto"/>
          <w:sz w:val="31"/>
          <w:szCs w:val="31"/>
        </w:rPr>
        <w:t>个，累计</w:t>
      </w:r>
      <w:r>
        <w:rPr>
          <w:rFonts w:hint="eastAsia" w:ascii="仿宋" w:hAnsi="仿宋" w:eastAsia="仿宋" w:cs="仿宋"/>
          <w:bCs/>
          <w:color w:val="auto"/>
          <w:sz w:val="31"/>
          <w:szCs w:val="31"/>
          <w:u w:val="single"/>
        </w:rPr>
        <w:t>0</w:t>
      </w:r>
      <w:r>
        <w:rPr>
          <w:rFonts w:hint="eastAsia" w:ascii="仿宋" w:hAnsi="仿宋" w:eastAsia="仿宋" w:cs="仿宋"/>
          <w:bCs/>
          <w:color w:val="auto"/>
          <w:sz w:val="31"/>
          <w:szCs w:val="31"/>
        </w:rPr>
        <w:t>人次。开支内容包括：</w:t>
      </w:r>
    </w:p>
    <w:p>
      <w:pPr>
        <w:autoSpaceDE w:val="0"/>
        <w:autoSpaceDN w:val="0"/>
        <w:adjustRightInd w:val="0"/>
        <w:spacing w:line="560" w:lineRule="exact"/>
        <w:ind w:firstLine="620" w:firstLineChars="200"/>
        <w:jc w:val="left"/>
        <w:rPr>
          <w:rFonts w:hint="default" w:ascii="仿宋" w:hAnsi="仿宋" w:eastAsia="仿宋" w:cs="仿宋"/>
          <w:color w:val="auto"/>
          <w:sz w:val="31"/>
          <w:szCs w:val="31"/>
          <w:lang w:val="en-US" w:eastAsia="zh-CN"/>
        </w:rPr>
      </w:pPr>
      <w:r>
        <w:rPr>
          <w:rFonts w:hint="eastAsia" w:ascii="仿宋" w:hAnsi="仿宋" w:eastAsia="仿宋" w:cs="仿宋"/>
          <w:color w:val="auto"/>
          <w:kern w:val="0"/>
          <w:sz w:val="31"/>
          <w:szCs w:val="31"/>
        </w:rPr>
        <w:t>（二）公务用车购置及运行费支出</w:t>
      </w:r>
      <w:r>
        <w:rPr>
          <w:rFonts w:ascii="仿宋" w:hAnsi="仿宋" w:eastAsia="仿宋" w:cs="仿宋"/>
          <w:color w:val="auto"/>
          <w:sz w:val="31"/>
          <w:u w:color="auto"/>
        </w:rPr>
        <w:t>0.00万元。其中：公务用车购置支出0.00万元，完成年初预算的</w:t>
      </w:r>
      <w:r>
        <w:rPr>
          <w:rFonts w:hint="eastAsia" w:ascii="仿宋" w:hAnsi="仿宋" w:eastAsia="仿宋" w:cs="仿宋"/>
          <w:color w:val="auto"/>
          <w:sz w:val="31"/>
          <w:szCs w:val="31"/>
        </w:rPr>
        <w:t>0%</w:t>
      </w:r>
      <w:r>
        <w:rPr>
          <w:rFonts w:hint="eastAsia" w:ascii="仿宋" w:hAnsi="仿宋" w:eastAsia="仿宋" w:cs="仿宋"/>
          <w:color w:val="auto"/>
          <w:kern w:val="0"/>
          <w:sz w:val="31"/>
          <w:szCs w:val="31"/>
        </w:rPr>
        <w:t>，比上年</w:t>
      </w:r>
      <w:r>
        <w:rPr>
          <w:rFonts w:hint="eastAsia" w:ascii="仿宋" w:hAnsi="仿宋" w:eastAsia="仿宋" w:cs="仿宋"/>
          <w:color w:val="auto"/>
          <w:sz w:val="31"/>
          <w:szCs w:val="31"/>
        </w:rPr>
        <w:t>增加0.00</w:t>
      </w:r>
      <w:r>
        <w:rPr>
          <w:rFonts w:hint="eastAsia" w:ascii="仿宋" w:hAnsi="仿宋" w:eastAsia="仿宋" w:cs="仿宋"/>
          <w:color w:val="auto"/>
          <w:kern w:val="0"/>
          <w:sz w:val="31"/>
          <w:szCs w:val="31"/>
        </w:rPr>
        <w:t>万元，原因是</w:t>
      </w:r>
      <w:r>
        <w:rPr>
          <w:rFonts w:hint="eastAsia" w:ascii="仿宋" w:hAnsi="仿宋" w:eastAsia="仿宋" w:cs="仿宋"/>
          <w:color w:val="auto"/>
          <w:kern w:val="0"/>
          <w:sz w:val="31"/>
          <w:szCs w:val="31"/>
          <w:lang w:eastAsia="zh-CN"/>
        </w:rPr>
        <w:t>：</w:t>
      </w:r>
      <w:bookmarkStart w:id="4" w:name="_GoBack"/>
      <w:bookmarkEnd w:id="4"/>
      <w:r>
        <w:rPr>
          <w:rFonts w:hint="eastAsia" w:ascii="仿宋_GB2312" w:eastAsia="仿宋_GB2312" w:cs="仿宋_GB2312"/>
          <w:color w:val="auto"/>
          <w:kern w:val="0"/>
          <w:sz w:val="32"/>
          <w:szCs w:val="32"/>
        </w:rPr>
        <w:t>与上年决算持平，无增减变动</w:t>
      </w:r>
      <w:r>
        <w:rPr>
          <w:rFonts w:hint="eastAsia" w:ascii="仿宋" w:hAnsi="仿宋" w:eastAsia="仿宋" w:cs="仿宋"/>
          <w:color w:val="auto"/>
          <w:kern w:val="0"/>
          <w:sz w:val="31"/>
          <w:szCs w:val="31"/>
        </w:rPr>
        <w:t>。购置</w:t>
      </w:r>
      <w:r>
        <w:rPr>
          <w:rFonts w:hint="eastAsia" w:ascii="仿宋" w:hAnsi="仿宋" w:eastAsia="仿宋" w:cs="仿宋"/>
          <w:color w:val="auto"/>
          <w:sz w:val="31"/>
          <w:szCs w:val="31"/>
        </w:rPr>
        <w:t>了</w:t>
      </w:r>
      <w:r>
        <w:rPr>
          <w:rFonts w:ascii="仿宋" w:hAnsi="仿宋" w:eastAsia="仿宋" w:cs="仿宋"/>
          <w:color w:val="auto"/>
          <w:sz w:val="31"/>
          <w:u w:color="auto"/>
        </w:rPr>
        <w:t>0辆公务用车，</w:t>
      </w:r>
      <w:r>
        <w:rPr>
          <w:rFonts w:hint="eastAsia" w:ascii="仿宋" w:hAnsi="仿宋" w:eastAsia="仿宋" w:cs="仿宋"/>
          <w:color w:val="auto"/>
          <w:sz w:val="31"/>
          <w:szCs w:val="31"/>
        </w:rPr>
        <w:t>主要用</w:t>
      </w:r>
      <w:r>
        <w:rPr>
          <w:rFonts w:hint="eastAsia" w:ascii="仿宋" w:hAnsi="仿宋" w:eastAsia="仿宋" w:cs="仿宋"/>
          <w:color w:val="auto"/>
          <w:sz w:val="31"/>
          <w:szCs w:val="31"/>
          <w:lang w:val="en-US" w:eastAsia="zh-CN"/>
        </w:rPr>
        <w:t>于无。</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lang w:eastAsia="zh-CN"/>
        </w:rPr>
      </w:pPr>
      <w:r>
        <w:rPr>
          <w:rFonts w:hint="eastAsia" w:ascii="仿宋" w:hAnsi="仿宋" w:eastAsia="仿宋" w:cs="仿宋"/>
          <w:color w:val="auto"/>
          <w:kern w:val="0"/>
          <w:sz w:val="31"/>
          <w:szCs w:val="31"/>
        </w:rPr>
        <w:t>公务用车运行支出</w:t>
      </w:r>
      <w:r>
        <w:rPr>
          <w:rFonts w:ascii="仿宋" w:hAnsi="仿宋" w:eastAsia="仿宋" w:cs="仿宋"/>
          <w:color w:val="auto"/>
          <w:sz w:val="31"/>
          <w:u w:color="auto"/>
        </w:rPr>
        <w:t>0.00万元，完成年初预算的0%</w:t>
      </w:r>
      <w:r>
        <w:rPr>
          <w:rFonts w:hint="eastAsia" w:ascii="仿宋" w:hAnsi="仿宋" w:eastAsia="仿宋" w:cs="仿宋"/>
          <w:color w:val="auto"/>
          <w:kern w:val="0"/>
          <w:sz w:val="31"/>
          <w:szCs w:val="31"/>
        </w:rPr>
        <w:t>，比上年</w:t>
      </w:r>
      <w:r>
        <w:rPr>
          <w:rFonts w:ascii="仿宋" w:hAnsi="仿宋" w:eastAsia="仿宋" w:cs="仿宋"/>
          <w:color w:val="auto"/>
          <w:sz w:val="31"/>
          <w:u w:color="auto"/>
        </w:rPr>
        <w:t>增加0.00万元，</w:t>
      </w:r>
      <w:r>
        <w:rPr>
          <w:rFonts w:hint="eastAsia" w:ascii="仿宋" w:hAnsi="仿宋" w:eastAsia="仿宋" w:cs="仿宋"/>
          <w:color w:val="auto"/>
          <w:kern w:val="2"/>
          <w:sz w:val="31"/>
          <w:szCs w:val="31"/>
          <w:highlight w:val="none"/>
          <w:lang w:val="en-US" w:eastAsia="zh-CN" w:bidi="ar"/>
        </w:rPr>
        <w:t>原因是：</w:t>
      </w:r>
      <w:r>
        <w:rPr>
          <w:rFonts w:hint="eastAsia" w:ascii="仿宋_GB2312" w:eastAsia="仿宋_GB2312" w:cs="仿宋_GB2312"/>
          <w:color w:val="auto"/>
          <w:kern w:val="0"/>
          <w:sz w:val="32"/>
          <w:szCs w:val="32"/>
        </w:rPr>
        <w:t>与上年决算持平，无增减变动</w:t>
      </w:r>
      <w:r>
        <w:rPr>
          <w:rFonts w:hint="eastAsia" w:ascii="仿宋" w:hAnsi="仿宋" w:eastAsia="仿宋" w:cs="仿宋"/>
          <w:color w:val="auto"/>
          <w:kern w:val="2"/>
          <w:sz w:val="31"/>
          <w:szCs w:val="31"/>
          <w:highlight w:val="none"/>
          <w:lang w:val="en-US" w:eastAsia="zh-CN" w:bidi="ar"/>
        </w:rPr>
        <w:t>。</w:t>
      </w:r>
      <w:r>
        <w:rPr>
          <w:rFonts w:hint="eastAsia" w:ascii="仿宋" w:hAnsi="仿宋" w:eastAsia="仿宋" w:cs="仿宋"/>
          <w:color w:val="auto"/>
          <w:kern w:val="0"/>
          <w:sz w:val="31"/>
          <w:szCs w:val="31"/>
        </w:rPr>
        <w:t>主要用于机要文件交换、市内因公出行以及开</w:t>
      </w:r>
      <w:r>
        <w:rPr>
          <w:rFonts w:hint="eastAsia" w:ascii="仿宋" w:hAnsi="仿宋" w:eastAsia="仿宋" w:cs="仿宋"/>
          <w:color w:val="auto"/>
          <w:kern w:val="0"/>
          <w:sz w:val="31"/>
          <w:szCs w:val="31"/>
          <w:u w:val="single"/>
        </w:rPr>
        <w:t>展业务</w:t>
      </w:r>
      <w:r>
        <w:rPr>
          <w:rFonts w:hint="eastAsia" w:ascii="仿宋" w:hAnsi="仿宋" w:eastAsia="仿宋" w:cs="仿宋"/>
          <w:color w:val="auto"/>
          <w:kern w:val="0"/>
          <w:sz w:val="31"/>
          <w:szCs w:val="31"/>
        </w:rPr>
        <w:t>所需车辆燃料费、维修费、过路过桥费、保险费等。2022年，</w:t>
      </w:r>
      <w:r>
        <w:rPr>
          <w:rFonts w:hint="eastAsia" w:ascii="仿宋" w:hAnsi="仿宋" w:eastAsia="仿宋" w:cs="仿宋"/>
          <w:color w:val="auto"/>
          <w:sz w:val="31"/>
          <w:szCs w:val="31"/>
          <w:u w:val="single"/>
          <w:shd w:val="clear" w:color="auto" w:fill="FFFFFF"/>
        </w:rPr>
        <w:t>百色起义革命旧址管理处</w:t>
      </w:r>
      <w:r>
        <w:rPr>
          <w:rFonts w:hint="eastAsia" w:ascii="仿宋" w:hAnsi="仿宋" w:eastAsia="仿宋" w:cs="仿宋"/>
          <w:bCs/>
          <w:color w:val="auto"/>
          <w:sz w:val="31"/>
          <w:szCs w:val="31"/>
        </w:rPr>
        <w:t>、</w:t>
      </w:r>
      <w:r>
        <w:rPr>
          <w:rFonts w:hint="eastAsia" w:ascii="仿宋" w:hAnsi="仿宋" w:eastAsia="仿宋" w:cs="仿宋"/>
          <w:bCs/>
          <w:color w:val="auto"/>
          <w:sz w:val="31"/>
          <w:szCs w:val="31"/>
          <w:u w:val="single"/>
        </w:rPr>
        <w:t xml:space="preserve"> </w:t>
      </w:r>
      <w:r>
        <w:rPr>
          <w:rFonts w:hint="eastAsia" w:ascii="仿宋" w:hAnsi="仿宋" w:eastAsia="仿宋" w:cs="仿宋"/>
          <w:bCs/>
          <w:color w:val="auto"/>
          <w:sz w:val="31"/>
          <w:szCs w:val="31"/>
          <w:u w:val="single"/>
          <w:lang w:val="en-US" w:eastAsia="zh-CN"/>
        </w:rPr>
        <w:t>0</w:t>
      </w:r>
      <w:r>
        <w:rPr>
          <w:rFonts w:hint="eastAsia" w:ascii="仿宋" w:hAnsi="仿宋" w:eastAsia="仿宋" w:cs="仿宋"/>
          <w:bCs/>
          <w:color w:val="auto"/>
          <w:sz w:val="31"/>
          <w:szCs w:val="31"/>
          <w:u w:val="none"/>
        </w:rPr>
        <w:t>个所</w:t>
      </w:r>
      <w:r>
        <w:rPr>
          <w:rFonts w:hint="eastAsia" w:ascii="仿宋" w:hAnsi="仿宋" w:eastAsia="仿宋" w:cs="仿宋"/>
          <w:bCs/>
          <w:color w:val="auto"/>
          <w:sz w:val="31"/>
          <w:szCs w:val="31"/>
        </w:rPr>
        <w:t>属单位开支财政拨款的公务用车保有量为</w:t>
      </w:r>
      <w:r>
        <w:rPr>
          <w:rFonts w:hint="eastAsia" w:ascii="仿宋" w:hAnsi="仿宋" w:eastAsia="仿宋" w:cs="仿宋"/>
          <w:bCs/>
          <w:color w:val="auto"/>
          <w:sz w:val="31"/>
          <w:szCs w:val="31"/>
          <w:u w:val="single"/>
        </w:rPr>
        <w:t>0</w:t>
      </w:r>
      <w:r>
        <w:rPr>
          <w:rFonts w:hint="eastAsia" w:ascii="仿宋" w:hAnsi="仿宋" w:eastAsia="仿宋" w:cs="仿宋"/>
          <w:bCs/>
          <w:color w:val="auto"/>
          <w:sz w:val="31"/>
          <w:szCs w:val="31"/>
        </w:rPr>
        <w:t>辆，全年运行费支出</w:t>
      </w:r>
      <w:r>
        <w:rPr>
          <w:rFonts w:hint="eastAsia" w:ascii="仿宋" w:hAnsi="仿宋" w:eastAsia="仿宋" w:cs="仿宋"/>
          <w:color w:val="auto"/>
          <w:sz w:val="31"/>
          <w:szCs w:val="31"/>
        </w:rPr>
        <w:t>0.00</w:t>
      </w:r>
      <w:r>
        <w:rPr>
          <w:rFonts w:hint="eastAsia" w:ascii="仿宋" w:hAnsi="仿宋" w:eastAsia="仿宋" w:cs="仿宋"/>
          <w:bCs/>
          <w:color w:val="auto"/>
          <w:sz w:val="31"/>
          <w:szCs w:val="31"/>
        </w:rPr>
        <w:t>万元，</w:t>
      </w:r>
      <w:r>
        <w:rPr>
          <w:rFonts w:hint="eastAsia" w:ascii="仿宋" w:hAnsi="仿宋" w:eastAsia="仿宋" w:cs="仿宋"/>
          <w:bCs/>
          <w:color w:val="auto"/>
          <w:sz w:val="31"/>
          <w:szCs w:val="31"/>
          <w:u w:val="none"/>
        </w:rPr>
        <w:t>平均每辆</w:t>
      </w:r>
      <w:r>
        <w:rPr>
          <w:rFonts w:hint="eastAsia" w:ascii="仿宋" w:hAnsi="仿宋" w:eastAsia="仿宋" w:cs="仿宋"/>
          <w:bCs/>
          <w:color w:val="auto"/>
          <w:sz w:val="31"/>
          <w:szCs w:val="31"/>
          <w:u w:val="single"/>
        </w:rPr>
        <w:t xml:space="preserve"> </w:t>
      </w:r>
      <w:r>
        <w:rPr>
          <w:rFonts w:hint="eastAsia" w:ascii="仿宋" w:hAnsi="仿宋" w:eastAsia="仿宋" w:cs="仿宋"/>
          <w:bCs/>
          <w:color w:val="auto"/>
          <w:sz w:val="31"/>
          <w:szCs w:val="31"/>
          <w:u w:val="single"/>
          <w:lang w:val="en-US" w:eastAsia="zh-CN"/>
        </w:rPr>
        <w:t>0.00</w:t>
      </w:r>
      <w:r>
        <w:rPr>
          <w:rFonts w:hint="eastAsia" w:ascii="仿宋" w:hAnsi="仿宋" w:eastAsia="仿宋" w:cs="仿宋"/>
          <w:bCs/>
          <w:color w:val="auto"/>
          <w:sz w:val="31"/>
          <w:szCs w:val="31"/>
          <w:u w:val="none"/>
        </w:rPr>
        <w:t>万元</w:t>
      </w:r>
      <w:r>
        <w:rPr>
          <w:rFonts w:hint="eastAsia" w:ascii="仿宋" w:hAnsi="仿宋" w:eastAsia="仿宋" w:cs="仿宋"/>
          <w:bCs/>
          <w:color w:val="auto"/>
          <w:sz w:val="31"/>
          <w:szCs w:val="31"/>
          <w:u w:val="none"/>
          <w:lang w:eastAsia="zh-CN"/>
        </w:rPr>
        <w:t>。</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（三）公务接待费支出</w:t>
      </w:r>
      <w:r>
        <w:rPr>
          <w:rFonts w:hint="eastAsia" w:ascii="仿宋" w:hAnsi="仿宋" w:eastAsia="仿宋" w:cs="仿宋"/>
          <w:color w:val="auto"/>
          <w:sz w:val="31"/>
          <w:szCs w:val="31"/>
        </w:rPr>
        <w:t>0.00</w:t>
      </w:r>
      <w:r>
        <w:rPr>
          <w:rFonts w:hint="eastAsia" w:ascii="仿宋" w:hAnsi="仿宋" w:eastAsia="仿宋" w:cs="仿宋"/>
          <w:color w:val="auto"/>
          <w:kern w:val="0"/>
          <w:sz w:val="31"/>
          <w:szCs w:val="31"/>
        </w:rPr>
        <w:t>万元，完成年初预算的</w:t>
      </w:r>
      <w:r>
        <w:rPr>
          <w:rFonts w:hint="eastAsia" w:ascii="仿宋" w:hAnsi="仿宋" w:eastAsia="仿宋" w:cs="仿宋"/>
          <w:color w:val="auto"/>
          <w:sz w:val="31"/>
          <w:szCs w:val="31"/>
        </w:rPr>
        <w:t>0%</w:t>
      </w:r>
      <w:r>
        <w:rPr>
          <w:rFonts w:hint="eastAsia" w:ascii="仿宋" w:hAnsi="仿宋" w:eastAsia="仿宋" w:cs="仿宋"/>
          <w:color w:val="auto"/>
          <w:kern w:val="0"/>
          <w:sz w:val="31"/>
          <w:szCs w:val="31"/>
        </w:rPr>
        <w:t>， 比上年</w:t>
      </w:r>
      <w:r>
        <w:rPr>
          <w:rFonts w:hint="eastAsia" w:ascii="仿宋" w:hAnsi="仿宋" w:eastAsia="仿宋" w:cs="仿宋"/>
          <w:color w:val="auto"/>
          <w:sz w:val="31"/>
          <w:szCs w:val="31"/>
        </w:rPr>
        <w:t>增加0.00</w:t>
      </w:r>
      <w:r>
        <w:rPr>
          <w:rFonts w:hint="eastAsia" w:ascii="仿宋" w:hAnsi="仿宋" w:eastAsia="仿宋" w:cs="仿宋"/>
          <w:color w:val="auto"/>
          <w:kern w:val="0"/>
          <w:sz w:val="31"/>
          <w:szCs w:val="31"/>
        </w:rPr>
        <w:t>万元，</w:t>
      </w:r>
      <w:r>
        <w:rPr>
          <w:rFonts w:hint="eastAsia" w:ascii="仿宋" w:hAnsi="仿宋" w:eastAsia="仿宋" w:cs="仿宋"/>
          <w:color w:val="auto"/>
          <w:kern w:val="2"/>
          <w:sz w:val="31"/>
          <w:szCs w:val="31"/>
          <w:highlight w:val="none"/>
          <w:lang w:val="en-US" w:eastAsia="zh-CN" w:bidi="ar"/>
        </w:rPr>
        <w:t>原因是：</w:t>
      </w:r>
      <w:r>
        <w:rPr>
          <w:rFonts w:hint="eastAsia" w:ascii="仿宋_GB2312" w:eastAsia="仿宋_GB2312" w:cs="仿宋_GB2312"/>
          <w:color w:val="auto"/>
          <w:kern w:val="0"/>
          <w:sz w:val="32"/>
          <w:szCs w:val="32"/>
        </w:rPr>
        <w:t>与上年决算持平，无增减变动</w:t>
      </w:r>
      <w:r>
        <w:rPr>
          <w:rFonts w:hint="eastAsia" w:ascii="仿宋" w:hAnsi="仿宋" w:eastAsia="仿宋" w:cs="仿宋"/>
          <w:color w:val="auto"/>
          <w:kern w:val="2"/>
          <w:sz w:val="31"/>
          <w:szCs w:val="31"/>
          <w:highlight w:val="none"/>
          <w:lang w:val="en-US" w:eastAsia="zh-CN" w:bidi="ar"/>
        </w:rPr>
        <w:t>。</w:t>
      </w:r>
      <w:r>
        <w:rPr>
          <w:rFonts w:hint="eastAsia" w:ascii="仿宋" w:hAnsi="仿宋" w:eastAsia="仿宋" w:cs="仿宋"/>
          <w:color w:val="auto"/>
          <w:kern w:val="0"/>
          <w:sz w:val="31"/>
          <w:szCs w:val="31"/>
        </w:rPr>
        <w:t>国内公务接待批次</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次，人次</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次，国（境）外公务接待批次</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次，人次</w:t>
      </w:r>
      <w:r>
        <w:rPr>
          <w:rFonts w:hint="eastAsia" w:ascii="仿宋" w:hAnsi="仿宋" w:eastAsia="仿宋" w:cs="仿宋"/>
          <w:color w:val="auto"/>
          <w:kern w:val="0"/>
          <w:sz w:val="31"/>
          <w:szCs w:val="31"/>
          <w:u w:val="single"/>
        </w:rPr>
        <w:t xml:space="preserve"> </w:t>
      </w:r>
      <w:bookmarkStart w:id="2" w:name="_Hlk145513101"/>
      <w:r>
        <w:rPr>
          <w:rFonts w:hint="eastAsia" w:ascii="仿宋" w:hAnsi="仿宋" w:eastAsia="仿宋" w:cs="仿宋"/>
          <w:color w:val="auto"/>
          <w:kern w:val="0"/>
          <w:sz w:val="31"/>
          <w:szCs w:val="31"/>
          <w:u w:val="single"/>
        </w:rPr>
        <w:t>0</w:t>
      </w:r>
      <w:bookmarkEnd w:id="2"/>
      <w:r>
        <w:rPr>
          <w:rFonts w:hint="eastAsia" w:ascii="仿宋" w:hAnsi="仿宋" w:eastAsia="仿宋" w:cs="仿宋"/>
          <w:color w:val="auto"/>
          <w:kern w:val="0"/>
          <w:sz w:val="31"/>
          <w:szCs w:val="31"/>
        </w:rPr>
        <w:t>次。</w:t>
      </w:r>
    </w:p>
    <w:p>
      <w:pPr>
        <w:autoSpaceDE w:val="0"/>
        <w:autoSpaceDN w:val="0"/>
        <w:adjustRightInd w:val="0"/>
        <w:spacing w:line="560" w:lineRule="exact"/>
        <w:ind w:firstLine="627" w:firstLineChars="196"/>
        <w:jc w:val="left"/>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七、其他重要事项情况说明</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（一）</w:t>
      </w:r>
      <w:r>
        <w:rPr>
          <w:rFonts w:hint="eastAsia" w:ascii="仿宋" w:hAnsi="仿宋" w:eastAsia="仿宋" w:cs="仿宋"/>
          <w:color w:val="auto"/>
          <w:sz w:val="31"/>
          <w:szCs w:val="31"/>
        </w:rPr>
        <w:t xml:space="preserve"> </w:t>
      </w:r>
      <w:r>
        <w:rPr>
          <w:rFonts w:hint="eastAsia" w:ascii="仿宋" w:hAnsi="仿宋" w:eastAsia="仿宋" w:cs="仿宋"/>
          <w:color w:val="auto"/>
          <w:kern w:val="0"/>
          <w:sz w:val="31"/>
          <w:szCs w:val="31"/>
        </w:rPr>
        <w:t>机关运行经费支出情况说明</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本部门2022年度机关运行经费支出</w:t>
      </w:r>
      <w:r>
        <w:rPr>
          <w:rFonts w:hint="eastAsia" w:ascii="仿宋" w:hAnsi="仿宋" w:eastAsia="仿宋" w:cs="仿宋"/>
          <w:color w:val="auto"/>
          <w:sz w:val="31"/>
          <w:u w:color="auto"/>
          <w:lang w:val="en-US" w:eastAsia="zh-CN"/>
        </w:rPr>
        <w:t>0.00</w:t>
      </w:r>
      <w:r>
        <w:rPr>
          <w:rFonts w:ascii="仿宋" w:hAnsi="仿宋" w:eastAsia="仿宋" w:cs="仿宋"/>
          <w:color w:val="auto"/>
          <w:sz w:val="31"/>
          <w:u w:color="auto"/>
        </w:rPr>
        <w:t>万元（与部门决算中行政单位和参照公务员法管理事业单位一般公共预算财政拨款基本支出中公用经费之和一致），比年初预算数减少</w:t>
      </w:r>
      <w:r>
        <w:rPr>
          <w:rFonts w:hint="eastAsia" w:ascii="仿宋" w:hAnsi="仿宋" w:eastAsia="仿宋" w:cs="仿宋"/>
          <w:color w:val="auto"/>
          <w:sz w:val="31"/>
          <w:u w:color="auto"/>
          <w:lang w:val="en-US" w:eastAsia="zh-CN"/>
        </w:rPr>
        <w:t>0.00</w:t>
      </w:r>
      <w:r>
        <w:rPr>
          <w:rFonts w:hint="eastAsia" w:ascii="仿宋" w:hAnsi="仿宋" w:eastAsia="仿宋" w:cs="仿宋"/>
          <w:color w:val="auto"/>
          <w:kern w:val="0"/>
          <w:sz w:val="31"/>
          <w:szCs w:val="31"/>
        </w:rPr>
        <w:t>万元，</w:t>
      </w:r>
      <w:r>
        <w:rPr>
          <w:rFonts w:ascii="仿宋" w:hAnsi="仿宋" w:eastAsia="仿宋" w:cs="仿宋"/>
          <w:color w:val="auto"/>
          <w:sz w:val="31"/>
          <w:u w:color="auto"/>
        </w:rPr>
        <w:t>下降</w:t>
      </w:r>
      <w:r>
        <w:rPr>
          <w:rFonts w:hint="eastAsia" w:ascii="仿宋" w:hAnsi="仿宋" w:eastAsia="仿宋" w:cs="仿宋"/>
          <w:color w:val="auto"/>
          <w:sz w:val="31"/>
          <w:u w:color="auto"/>
          <w:lang w:val="en-US" w:eastAsia="zh-CN"/>
        </w:rPr>
        <w:t>0.00</w:t>
      </w:r>
      <w:r>
        <w:rPr>
          <w:rFonts w:ascii="仿宋" w:hAnsi="仿宋" w:eastAsia="仿宋" w:cs="仿宋"/>
          <w:color w:val="auto"/>
          <w:sz w:val="31"/>
          <w:u w:color="auto"/>
        </w:rPr>
        <w:t>%，比</w:t>
      </w:r>
      <w:r>
        <w:rPr>
          <w:rFonts w:hint="eastAsia" w:ascii="仿宋" w:hAnsi="仿宋" w:eastAsia="仿宋" w:cs="仿宋"/>
          <w:color w:val="auto"/>
          <w:kern w:val="0"/>
          <w:sz w:val="31"/>
          <w:szCs w:val="31"/>
          <w:lang w:val="en-US" w:eastAsia="zh-CN"/>
        </w:rPr>
        <w:t>2021</w:t>
      </w:r>
      <w:r>
        <w:rPr>
          <w:rFonts w:hint="eastAsia" w:ascii="仿宋" w:hAnsi="仿宋" w:eastAsia="仿宋" w:cs="仿宋"/>
          <w:color w:val="auto"/>
          <w:kern w:val="0"/>
          <w:sz w:val="31"/>
          <w:szCs w:val="31"/>
        </w:rPr>
        <w:t>年决算数</w:t>
      </w:r>
      <w:r>
        <w:rPr>
          <w:rFonts w:ascii="仿宋" w:hAnsi="仿宋" w:eastAsia="仿宋" w:cs="仿宋"/>
          <w:color w:val="auto"/>
          <w:sz w:val="31"/>
          <w:u w:color="auto"/>
        </w:rPr>
        <w:t>增加</w:t>
      </w:r>
      <w:r>
        <w:rPr>
          <w:rFonts w:hint="eastAsia" w:ascii="仿宋" w:hAnsi="仿宋" w:eastAsia="仿宋" w:cs="仿宋"/>
          <w:color w:val="auto"/>
          <w:sz w:val="31"/>
          <w:u w:color="auto"/>
          <w:lang w:val="en-US" w:eastAsia="zh-CN"/>
        </w:rPr>
        <w:t>0.00</w:t>
      </w:r>
      <w:r>
        <w:rPr>
          <w:rFonts w:hint="eastAsia" w:ascii="仿宋" w:hAnsi="仿宋" w:eastAsia="仿宋" w:cs="仿宋"/>
          <w:color w:val="auto"/>
          <w:kern w:val="0"/>
          <w:sz w:val="31"/>
          <w:szCs w:val="31"/>
        </w:rPr>
        <w:t>万元，</w:t>
      </w:r>
      <w:r>
        <w:rPr>
          <w:rFonts w:ascii="仿宋" w:hAnsi="仿宋" w:eastAsia="仿宋" w:cs="仿宋"/>
          <w:color w:val="auto"/>
          <w:sz w:val="31"/>
          <w:u w:color="auto"/>
        </w:rPr>
        <w:t>增长</w:t>
      </w:r>
      <w:r>
        <w:rPr>
          <w:rFonts w:hint="eastAsia" w:ascii="仿宋" w:hAnsi="仿宋" w:eastAsia="仿宋" w:cs="仿宋"/>
          <w:color w:val="auto"/>
          <w:sz w:val="31"/>
          <w:u w:color="auto"/>
          <w:lang w:val="en-US" w:eastAsia="zh-CN"/>
        </w:rPr>
        <w:t>0.00</w:t>
      </w:r>
      <w:r>
        <w:rPr>
          <w:rFonts w:ascii="仿宋" w:hAnsi="仿宋" w:eastAsia="仿宋" w:cs="仿宋"/>
          <w:color w:val="auto"/>
          <w:sz w:val="31"/>
          <w:u w:color="auto"/>
        </w:rPr>
        <w:t>%</w:t>
      </w:r>
      <w:r>
        <w:rPr>
          <w:rFonts w:hint="eastAsia" w:ascii="仿宋" w:hAnsi="仿宋" w:eastAsia="仿宋" w:cs="仿宋"/>
          <w:color w:val="auto"/>
          <w:kern w:val="0"/>
          <w:sz w:val="31"/>
          <w:szCs w:val="31"/>
        </w:rPr>
        <w:t>。</w:t>
      </w:r>
      <w:r>
        <w:rPr>
          <w:rFonts w:hint="eastAsia" w:ascii="仿宋" w:hAnsi="仿宋" w:eastAsia="仿宋" w:cs="仿宋"/>
          <w:color w:val="auto"/>
          <w:kern w:val="2"/>
          <w:sz w:val="31"/>
          <w:szCs w:val="31"/>
          <w:highlight w:val="none"/>
          <w:lang w:val="en-US" w:eastAsia="zh-CN" w:bidi="ar"/>
        </w:rPr>
        <w:t>原因是：</w:t>
      </w:r>
      <w:r>
        <w:rPr>
          <w:rFonts w:hint="eastAsia" w:ascii="仿宋_GB2312" w:eastAsia="仿宋_GB2312" w:cs="仿宋_GB2312"/>
          <w:color w:val="auto"/>
          <w:kern w:val="0"/>
          <w:sz w:val="32"/>
          <w:szCs w:val="32"/>
          <w:lang w:val="en-US" w:eastAsia="zh-CN"/>
        </w:rPr>
        <w:t>本单位无机关运行经费支出</w:t>
      </w:r>
      <w:r>
        <w:rPr>
          <w:rFonts w:hint="eastAsia" w:ascii="仿宋" w:hAnsi="仿宋" w:eastAsia="仿宋" w:cs="仿宋"/>
          <w:color w:val="auto"/>
          <w:kern w:val="0"/>
          <w:sz w:val="31"/>
          <w:szCs w:val="31"/>
        </w:rPr>
        <w:t>。</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（二）政府采购支出情况说明</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本部门2022年度政府采购支出总额</w:t>
      </w:r>
      <w:r>
        <w:rPr>
          <w:rFonts w:ascii="仿宋" w:hAnsi="仿宋" w:eastAsia="仿宋" w:cs="仿宋"/>
          <w:color w:val="auto"/>
          <w:sz w:val="31"/>
          <w:u w:color="auto"/>
        </w:rPr>
        <w:t>114.93万元，其中：政府采购货物支出0.00万元、政府采购工程支出114.93万元、政府采购服务支出0.00万元，（口径参见部门决算F03表《机构运行信息表》中政府采购相关数据）。授予中小企业合同金额114.93万元，占政府采购支出总额的100.00%，其中：授予小微企业合同金额114.93万元，占授予中小企业合同金额的100.00%。</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（三）国有资产占用情况说明</w:t>
      </w:r>
    </w:p>
    <w:p>
      <w:pPr>
        <w:autoSpaceDE w:val="0"/>
        <w:autoSpaceDN w:val="0"/>
        <w:adjustRightInd w:val="0"/>
        <w:spacing w:line="560" w:lineRule="exact"/>
        <w:ind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rPr>
        <w:t>截至2022年12月31日，本部门共有车辆</w:t>
      </w:r>
      <w:r>
        <w:rPr>
          <w:rFonts w:ascii="仿宋" w:hAnsi="仿宋" w:eastAsia="仿宋" w:cs="仿宋"/>
          <w:color w:val="auto"/>
          <w:sz w:val="31"/>
          <w:u w:color="auto"/>
        </w:rPr>
        <w:t>0辆，其中：副部（省）级领导干部用车</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辆、机要通信用车</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辆、应急保障用车</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辆、执法执勤用车</w:t>
      </w:r>
      <w:bookmarkStart w:id="3" w:name="_Hlk145513911"/>
      <w:r>
        <w:rPr>
          <w:rFonts w:hint="eastAsia" w:ascii="仿宋" w:hAnsi="仿宋" w:eastAsia="仿宋" w:cs="仿宋"/>
          <w:color w:val="auto"/>
          <w:kern w:val="0"/>
          <w:sz w:val="31"/>
          <w:szCs w:val="31"/>
          <w:u w:val="single"/>
        </w:rPr>
        <w:t>0</w:t>
      </w:r>
      <w:bookmarkEnd w:id="3"/>
      <w:r>
        <w:rPr>
          <w:rFonts w:hint="eastAsia" w:ascii="仿宋" w:hAnsi="仿宋" w:eastAsia="仿宋" w:cs="仿宋"/>
          <w:color w:val="auto"/>
          <w:kern w:val="0"/>
          <w:sz w:val="31"/>
          <w:szCs w:val="31"/>
        </w:rPr>
        <w:t>辆、特种专业技术用车</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辆、其他用车</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辆，其他用车主要是</w:t>
      </w:r>
      <w:r>
        <w:rPr>
          <w:rFonts w:hint="eastAsia" w:ascii="仿宋" w:hAnsi="仿宋" w:eastAsia="仿宋" w:cs="仿宋"/>
          <w:color w:val="auto"/>
          <w:kern w:val="0"/>
          <w:sz w:val="31"/>
          <w:szCs w:val="31"/>
          <w:lang w:val="en-US" w:eastAsia="zh-CN"/>
        </w:rPr>
        <w:t>无</w:t>
      </w:r>
      <w:r>
        <w:rPr>
          <w:rFonts w:hint="eastAsia" w:ascii="仿宋" w:hAnsi="仿宋" w:eastAsia="仿宋" w:cs="仿宋"/>
          <w:color w:val="auto"/>
          <w:kern w:val="0"/>
          <w:sz w:val="31"/>
          <w:szCs w:val="31"/>
        </w:rPr>
        <w:t>；单位价值50万元以上通用设备</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台（套）；单位价值100万元以上专用设备</w:t>
      </w:r>
      <w:r>
        <w:rPr>
          <w:rFonts w:hint="eastAsia" w:ascii="仿宋" w:hAnsi="仿宋" w:eastAsia="仿宋" w:cs="仿宋"/>
          <w:color w:val="auto"/>
          <w:kern w:val="0"/>
          <w:sz w:val="31"/>
          <w:szCs w:val="31"/>
          <w:u w:val="single"/>
        </w:rPr>
        <w:t>0</w:t>
      </w:r>
      <w:r>
        <w:rPr>
          <w:rFonts w:hint="eastAsia" w:ascii="仿宋" w:hAnsi="仿宋" w:eastAsia="仿宋" w:cs="仿宋"/>
          <w:color w:val="auto"/>
          <w:kern w:val="0"/>
          <w:sz w:val="31"/>
          <w:szCs w:val="31"/>
        </w:rPr>
        <w:t>台（套）。</w:t>
      </w:r>
    </w:p>
    <w:p>
      <w:pPr>
        <w:pStyle w:val="6"/>
        <w:widowControl/>
        <w:spacing w:before="196" w:beforeAutospacing="0" w:after="196" w:afterAutospacing="0" w:line="540" w:lineRule="atLeast"/>
        <w:ind w:firstLine="420"/>
        <w:jc w:val="both"/>
        <w:rPr>
          <w:rFonts w:ascii="黑体" w:hAnsi="黑体" w:eastAsia="黑体" w:cs="黑体"/>
          <w:color w:val="auto"/>
          <w:sz w:val="32"/>
          <w:szCs w:val="32"/>
        </w:rPr>
      </w:pPr>
      <w:r>
        <w:rPr>
          <w:rFonts w:hint="eastAsia" w:ascii="黑体" w:hAnsi="黑体" w:eastAsia="黑体" w:cs="黑体"/>
          <w:color w:val="auto"/>
          <w:sz w:val="32"/>
          <w:szCs w:val="32"/>
          <w:shd w:val="clear" w:color="auto" w:fill="FFFFFF"/>
        </w:rPr>
        <w:t>八、预算绩效管理工作开展情况。</w:t>
      </w:r>
    </w:p>
    <w:p>
      <w:pPr>
        <w:spacing w:line="360" w:lineRule="auto"/>
        <w:ind w:firstLine="56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（一）绩效管理工作开展情况。</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lang w:val="en-US" w:eastAsia="zh-CN" w:bidi="ar"/>
        </w:rPr>
        <w:t>根据财政预算管理要求，本部门组织对2022年度预算项目支出全面开展绩效自评。2022年共开展预算项目自评1个,共涉及资金18万元,自评覆盖率达到100%。</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lang w:val="en-US" w:eastAsia="zh-CN" w:bidi="ar"/>
        </w:rPr>
        <w:t>共组织对“所属革命旧址维护维修经费”等1个项目进行了绩效评价，涉及预算支出18万元。从评价情况来看，总体满意。</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auto"/>
          <w:kern w:val="0"/>
          <w:sz w:val="31"/>
          <w:szCs w:val="31"/>
        </w:rPr>
      </w:pPr>
      <w:r>
        <w:rPr>
          <w:rFonts w:hint="eastAsia" w:ascii="仿宋" w:hAnsi="仿宋" w:eastAsia="仿宋" w:cs="仿宋"/>
          <w:color w:val="auto"/>
          <w:kern w:val="0"/>
          <w:sz w:val="31"/>
          <w:szCs w:val="31"/>
          <w:lang w:val="en-US" w:eastAsia="zh-CN" w:bidi="ar"/>
        </w:rPr>
        <w:t>组织对本部门及0个（单位）开展整体支出绩效自评，涉及一般公共预算支出0万元。</w:t>
      </w:r>
      <w:r>
        <w:rPr>
          <w:rFonts w:hint="eastAsia" w:ascii="仿宋" w:hAnsi="仿宋" w:eastAsia="仿宋" w:cs="仿宋"/>
          <w:i w:val="0"/>
          <w:iCs w:val="0"/>
          <w:caps w:val="0"/>
          <w:color w:val="auto"/>
          <w:spacing w:val="0"/>
          <w:sz w:val="30"/>
          <w:szCs w:val="30"/>
          <w:shd w:val="clear" w:fill="FFFFFF"/>
          <w:lang w:val="en-US" w:eastAsia="zh-CN"/>
        </w:rPr>
        <w:t>百色起义革命旧址管理处</w:t>
      </w:r>
      <w:r>
        <w:rPr>
          <w:rFonts w:ascii="仿宋" w:hAnsi="仿宋" w:eastAsia="仿宋" w:cs="仿宋"/>
          <w:i w:val="0"/>
          <w:iCs w:val="0"/>
          <w:caps w:val="0"/>
          <w:color w:val="auto"/>
          <w:spacing w:val="0"/>
          <w:sz w:val="30"/>
          <w:szCs w:val="30"/>
          <w:shd w:val="clear" w:fill="FFFFFF"/>
        </w:rPr>
        <w:t>设置为</w:t>
      </w:r>
      <w:r>
        <w:rPr>
          <w:rFonts w:hint="eastAsia" w:ascii="仿宋" w:hAnsi="仿宋" w:eastAsia="仿宋" w:cs="仿宋"/>
          <w:i w:val="0"/>
          <w:iCs w:val="0"/>
          <w:caps w:val="0"/>
          <w:color w:val="auto"/>
          <w:spacing w:val="0"/>
          <w:sz w:val="30"/>
          <w:szCs w:val="30"/>
          <w:shd w:val="clear" w:fill="FFFFFF"/>
          <w:lang w:val="en-US" w:eastAsia="zh-CN"/>
        </w:rPr>
        <w:t>百色起义纪念园管理中心</w:t>
      </w:r>
      <w:r>
        <w:rPr>
          <w:rFonts w:ascii="仿宋" w:hAnsi="仿宋" w:eastAsia="仿宋" w:cs="仿宋"/>
          <w:i w:val="0"/>
          <w:iCs w:val="0"/>
          <w:caps w:val="0"/>
          <w:color w:val="auto"/>
          <w:spacing w:val="0"/>
          <w:sz w:val="30"/>
          <w:szCs w:val="30"/>
          <w:shd w:val="clear" w:fill="FFFFFF"/>
        </w:rPr>
        <w:t>二层机构，具有独立法人的事业编制单位，部门整体支出绩效自评由主管局统筹开展，二层机构无需独立开展。</w:t>
      </w:r>
    </w:p>
    <w:p>
      <w:pPr>
        <w:spacing w:line="360" w:lineRule="auto"/>
        <w:ind w:firstLine="560"/>
        <w:jc w:val="left"/>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（二）部门决算中项目绩效自评结果。</w:t>
      </w:r>
    </w:p>
    <w:p>
      <w:pPr>
        <w:keepNext w:val="0"/>
        <w:keepLines w:val="0"/>
        <w:widowControl w:val="0"/>
        <w:suppressLineNumbers w:val="0"/>
        <w:autoSpaceDE w:val="0"/>
        <w:autoSpaceDN w:val="0"/>
        <w:adjustRightInd w:val="0"/>
        <w:spacing w:before="0" w:beforeAutospacing="0" w:after="0" w:afterAutospacing="0" w:line="560" w:lineRule="exact"/>
        <w:ind w:right="0"/>
        <w:jc w:val="left"/>
        <w:rPr>
          <w:rFonts w:hint="eastAsia" w:ascii="仿宋" w:hAnsi="仿宋" w:eastAsia="仿宋" w:cs="仿宋"/>
          <w:b/>
          <w:bCs w:val="0"/>
          <w:color w:val="auto"/>
          <w:kern w:val="0"/>
          <w:sz w:val="31"/>
          <w:szCs w:val="31"/>
          <w:lang w:val="en-US" w:eastAsia="zh-CN" w:bidi="ar"/>
        </w:rPr>
      </w:pPr>
      <w:r>
        <w:rPr>
          <w:rFonts w:hint="eastAsia" w:ascii="仿宋" w:hAnsi="仿宋" w:eastAsia="仿宋" w:cs="仿宋"/>
          <w:color w:val="auto"/>
          <w:sz w:val="31"/>
          <w:szCs w:val="31"/>
          <w:highlight w:val="none"/>
        </w:rPr>
        <w:t>我部门根据年初设定的绩效目标，</w:t>
      </w:r>
      <w:r>
        <w:rPr>
          <w:rFonts w:hint="eastAsia" w:ascii="仿宋" w:hAnsi="仿宋" w:eastAsia="仿宋" w:cs="仿宋"/>
          <w:color w:val="auto"/>
          <w:kern w:val="0"/>
          <w:sz w:val="31"/>
          <w:szCs w:val="31"/>
          <w:lang w:val="en-US" w:eastAsia="zh-CN" w:bidi="ar"/>
        </w:rPr>
        <w:t>“所属革命旧址维护维修经费”</w:t>
      </w:r>
      <w:r>
        <w:rPr>
          <w:rFonts w:hint="eastAsia" w:ascii="仿宋" w:hAnsi="仿宋" w:eastAsia="仿宋" w:cs="仿宋"/>
          <w:color w:val="auto"/>
          <w:sz w:val="31"/>
          <w:szCs w:val="31"/>
          <w:highlight w:val="none"/>
        </w:rPr>
        <w:t>项目自评得分为</w:t>
      </w:r>
      <w:r>
        <w:rPr>
          <w:rFonts w:hint="eastAsia" w:ascii="仿宋" w:hAnsi="仿宋" w:eastAsia="仿宋" w:cs="仿宋"/>
          <w:color w:val="auto"/>
          <w:sz w:val="31"/>
          <w:szCs w:val="31"/>
          <w:highlight w:val="none"/>
          <w:lang w:val="en-US" w:eastAsia="zh-CN"/>
        </w:rPr>
        <w:t>83.01</w:t>
      </w:r>
      <w:r>
        <w:rPr>
          <w:rFonts w:hint="eastAsia" w:ascii="仿宋" w:hAnsi="仿宋" w:eastAsia="仿宋" w:cs="仿宋"/>
          <w:color w:val="auto"/>
          <w:sz w:val="31"/>
          <w:szCs w:val="31"/>
          <w:highlight w:val="none"/>
        </w:rPr>
        <w:t xml:space="preserve"> 分，项目全年预算数为</w:t>
      </w:r>
      <w:r>
        <w:rPr>
          <w:rFonts w:hint="eastAsia" w:ascii="仿宋" w:hAnsi="仿宋" w:eastAsia="仿宋" w:cs="仿宋"/>
          <w:color w:val="auto"/>
          <w:sz w:val="31"/>
          <w:szCs w:val="31"/>
          <w:highlight w:val="none"/>
          <w:lang w:val="en-US" w:eastAsia="zh-CN"/>
        </w:rPr>
        <w:t>18</w:t>
      </w:r>
      <w:r>
        <w:rPr>
          <w:rFonts w:hint="eastAsia" w:ascii="仿宋" w:hAnsi="仿宋" w:eastAsia="仿宋" w:cs="仿宋"/>
          <w:color w:val="auto"/>
          <w:sz w:val="31"/>
          <w:szCs w:val="31"/>
          <w:highlight w:val="none"/>
        </w:rPr>
        <w:t>万元，执行数为</w:t>
      </w:r>
      <w:r>
        <w:rPr>
          <w:rFonts w:hint="eastAsia" w:ascii="仿宋" w:hAnsi="仿宋" w:eastAsia="仿宋" w:cs="仿宋"/>
          <w:color w:val="auto"/>
          <w:sz w:val="31"/>
          <w:szCs w:val="31"/>
          <w:highlight w:val="none"/>
          <w:lang w:val="en-US" w:eastAsia="zh-CN"/>
        </w:rPr>
        <w:t>18</w:t>
      </w:r>
      <w:r>
        <w:rPr>
          <w:rFonts w:hint="eastAsia" w:ascii="仿宋" w:hAnsi="仿宋" w:eastAsia="仿宋" w:cs="仿宋"/>
          <w:color w:val="auto"/>
          <w:sz w:val="31"/>
          <w:szCs w:val="31"/>
          <w:highlight w:val="none"/>
        </w:rPr>
        <w:t>万元，完成预算的</w:t>
      </w:r>
      <w:r>
        <w:rPr>
          <w:rFonts w:hint="eastAsia" w:ascii="仿宋" w:hAnsi="仿宋" w:eastAsia="仿宋" w:cs="仿宋"/>
          <w:color w:val="auto"/>
          <w:sz w:val="31"/>
          <w:szCs w:val="31"/>
          <w:highlight w:val="none"/>
          <w:lang w:val="en-US" w:eastAsia="zh-CN"/>
        </w:rPr>
        <w:t>100</w:t>
      </w:r>
      <w:r>
        <w:rPr>
          <w:rFonts w:hint="eastAsia" w:ascii="仿宋" w:hAnsi="仿宋" w:eastAsia="仿宋" w:cs="仿宋"/>
          <w:color w:val="auto"/>
          <w:sz w:val="31"/>
          <w:szCs w:val="31"/>
          <w:highlight w:val="none"/>
        </w:rPr>
        <w:t>%。</w:t>
      </w:r>
    </w:p>
    <w:p>
      <w:pPr>
        <w:autoSpaceDE w:val="0"/>
        <w:autoSpaceDN w:val="0"/>
        <w:adjustRightInd w:val="0"/>
        <w:spacing w:line="560" w:lineRule="exact"/>
        <w:jc w:val="center"/>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第四部分  名词解释</w:t>
      </w:r>
    </w:p>
    <w:p>
      <w:pPr>
        <w:ind w:firstLine="640"/>
        <w:rPr>
          <w:rFonts w:hint="eastAsia" w:ascii="仿宋" w:hAnsi="仿宋" w:eastAsia="仿宋" w:cs="仿宋"/>
          <w:color w:val="auto"/>
          <w:sz w:val="31"/>
          <w:szCs w:val="31"/>
        </w:rPr>
      </w:pPr>
      <w:r>
        <w:rPr>
          <w:rFonts w:hint="eastAsia" w:ascii="仿宋" w:hAnsi="仿宋" w:eastAsia="仿宋" w:cs="仿宋"/>
          <w:color w:val="auto"/>
          <w:sz w:val="31"/>
          <w:szCs w:val="31"/>
        </w:rPr>
        <w:t>一、财政拨款收入：指</w:t>
      </w:r>
      <w:r>
        <w:rPr>
          <w:rFonts w:ascii="仿宋" w:hAnsi="仿宋" w:eastAsia="仿宋" w:cs="仿宋"/>
          <w:color w:val="auto"/>
          <w:sz w:val="31"/>
          <w:u w:color="auto"/>
        </w:rPr>
        <w:t xml:space="preserve">百色部门当年拨付的资金。 </w:t>
      </w:r>
    </w:p>
    <w:p>
      <w:pPr>
        <w:ind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二、事业收入：指事业单位开展专业业务活动及辅助活动所取得的收入。</w:t>
      </w:r>
    </w:p>
    <w:p>
      <w:pPr>
        <w:ind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三、经营收入：指事业单位在专业业务活动及其辅助活动之外开展非独立核算经营活动取得的收入。</w:t>
      </w:r>
    </w:p>
    <w:p>
      <w:pPr>
        <w:ind w:firstLine="640"/>
        <w:rPr>
          <w:rFonts w:hint="eastAsia" w:ascii="仿宋" w:hAnsi="仿宋" w:eastAsia="仿宋" w:cs="仿宋"/>
          <w:color w:val="auto"/>
          <w:sz w:val="31"/>
          <w:szCs w:val="31"/>
        </w:rPr>
      </w:pPr>
      <w:r>
        <w:rPr>
          <w:rFonts w:hint="eastAsia" w:ascii="仿宋" w:hAnsi="仿宋" w:eastAsia="仿宋" w:cs="仿宋"/>
          <w:color w:val="auto"/>
          <w:sz w:val="31"/>
          <w:szCs w:val="31"/>
        </w:rPr>
        <w:t>四、其他收入：指除上述“财政拨款收入”“事业收入”“经营收入”等以外的收入。</w:t>
      </w:r>
    </w:p>
    <w:p>
      <w:pPr>
        <w:ind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 xml:space="preserve">五、用事业基金弥补收支差额指事业单位在当年的“财政拨款收入”“事业收入”“经营收入”“其他收入”不足以安排当年支出的情况下，使用非财政拨款结余弥补本年度收支缺口的资金。 </w:t>
      </w:r>
    </w:p>
    <w:p>
      <w:pPr>
        <w:ind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 xml:space="preserve">六、年初结转和结余：指以前年度尚未完成、结转到本年 按有关规定继续使用的资金。 </w:t>
      </w:r>
    </w:p>
    <w:p>
      <w:pPr>
        <w:ind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 xml:space="preserve">七、结余分配：指事业单位按规定提取的职工福利基金、事业基金和缴纳的所得税，以及建设单位按规定应交回的基本建设竣工项目结余资金。 </w:t>
      </w:r>
    </w:p>
    <w:p>
      <w:pPr>
        <w:ind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 xml:space="preserve">八、年末结转和结余：指本年度或以前年度预算安排、因客观条件发生变化无法按原计划实施，需要延迟到以后年度按有关规定继续使用的资金。 </w:t>
      </w:r>
    </w:p>
    <w:p>
      <w:pPr>
        <w:ind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 xml:space="preserve">九、基本支出：指为保障机构正常运转、完成日常工作任务而发生的人员支出和公用支出。 </w:t>
      </w:r>
    </w:p>
    <w:p>
      <w:pPr>
        <w:ind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 xml:space="preserve">十、项目支出：指在基本支出之外为完成特定行政任务和事业发展目标所发生的支出。 </w:t>
      </w:r>
    </w:p>
    <w:p>
      <w:pPr>
        <w:ind w:firstLine="640"/>
        <w:rPr>
          <w:rFonts w:hint="eastAsia" w:ascii="仿宋" w:hAnsi="仿宋" w:eastAsia="仿宋" w:cs="仿宋"/>
          <w:color w:val="auto"/>
          <w:sz w:val="31"/>
          <w:szCs w:val="31"/>
        </w:rPr>
      </w:pPr>
      <w:r>
        <w:rPr>
          <w:rFonts w:hint="eastAsia" w:ascii="仿宋" w:hAnsi="仿宋" w:eastAsia="仿宋" w:cs="仿宋"/>
          <w:color w:val="auto"/>
          <w:sz w:val="31"/>
          <w:szCs w:val="31"/>
        </w:rPr>
        <w:t>十一、经营支出：指事业单位在专业业务活动及其辅助活动之外开展非独立核算经营活动发生的支出。</w:t>
      </w:r>
    </w:p>
    <w:p>
      <w:pPr>
        <w:ind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十二、“三公”经费：纳入</w:t>
      </w:r>
      <w:r>
        <w:rPr>
          <w:rFonts w:ascii="仿宋" w:hAnsi="仿宋" w:eastAsia="仿宋" w:cs="仿宋"/>
          <w:color w:val="auto"/>
          <w:sz w:val="31"/>
          <w:u w:color="auto"/>
        </w:rPr>
        <w:t xml:space="preserve">百色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4BBFC77-4C72-46B9-9D6E-F9435664603C}"/>
  </w:font>
  <w:font w:name="黑体">
    <w:panose1 w:val="02010609060101010101"/>
    <w:charset w:val="86"/>
    <w:family w:val="auto"/>
    <w:pitch w:val="default"/>
    <w:sig w:usb0="800002BF" w:usb1="38CF7CFA" w:usb2="00000016" w:usb3="00000000" w:csb0="00040001" w:csb1="00000000"/>
    <w:embedRegular r:id="rId2" w:fontKey="{922878EE-DE9D-4199-A404-4C56529FA3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7CFBA3D7-BB02-4297-8955-9D0CBDE60D93}"/>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embedRegular r:id="rId4" w:fontKey="{2F8E456F-8226-4431-A09E-B1702D404127}"/>
  </w:font>
  <w:font w:name="ArialUnicodeMS">
    <w:altName w:val="宋体"/>
    <w:panose1 w:val="00000000000000000000"/>
    <w:charset w:val="86"/>
    <w:family w:val="auto"/>
    <w:pitch w:val="default"/>
    <w:sig w:usb0="00000000" w:usb1="00000000" w:usb2="00000010" w:usb3="00000000" w:csb0="00040000" w:csb1="00000000"/>
    <w:embedRegular r:id="rId5" w:fontKey="{8B1DC78D-613E-4588-982E-450EFBEDD565}"/>
  </w:font>
  <w:font w:name="Arial Unicode MS">
    <w:panose1 w:val="020B0604020202020204"/>
    <w:charset w:val="86"/>
    <w:family w:val="auto"/>
    <w:pitch w:val="default"/>
    <w:sig w:usb0="FFFFFFFF" w:usb1="E9FFFFFF" w:usb2="0000003F" w:usb3="00000000" w:csb0="603F01FF" w:csb1="FFFF0000"/>
    <w:embedRegular r:id="rId6" w:fontKey="{9D044A36-B967-4353-B009-090C572FBCDD}"/>
  </w:font>
  <w:font w:name="微软雅黑">
    <w:panose1 w:val="020B0503020204020204"/>
    <w:charset w:val="86"/>
    <w:family w:val="swiss"/>
    <w:pitch w:val="default"/>
    <w:sig w:usb0="80000287" w:usb1="2ACF3C50" w:usb2="00000016" w:usb3="00000000" w:csb0="0004001F" w:csb1="00000000"/>
    <w:embedRegular r:id="rId7" w:fontKey="{EC3EB139-402F-4A40-ABA2-66E2A13B780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7D102"/>
    <w:multiLevelType w:val="multilevel"/>
    <w:tmpl w:val="3277D102"/>
    <w:lvl w:ilvl="0" w:tentative="0">
      <w:start w:val="1"/>
      <w:numFmt w:val="chineseCounting"/>
      <w:suff w:val="nothing"/>
      <w:lvlText w:val="%1、"/>
      <w:lvlJc w:val="left"/>
      <w:pPr>
        <w:tabs>
          <w:tab w:val="left" w:pos="0"/>
        </w:tabs>
        <w:ind w:left="0" w:firstLine="0"/>
      </w:pPr>
      <w:rPr>
        <w:rFonts w:hint="eastAsia" w:ascii="宋体" w:hAnsi="宋体" w:eastAsia="黑体" w:cs="宋体"/>
        <w:sz w:val="32"/>
      </w:rPr>
    </w:lvl>
    <w:lvl w:ilvl="1" w:tentative="0">
      <w:start w:val="1"/>
      <w:numFmt w:val="chineseCounting"/>
      <w:pStyle w:val="3"/>
      <w:suff w:val="nothing"/>
      <w:lvlText w:val="（%2）"/>
      <w:lvlJc w:val="left"/>
      <w:pPr>
        <w:tabs>
          <w:tab w:val="left" w:pos="0"/>
        </w:tabs>
        <w:ind w:left="0" w:firstLine="0"/>
      </w:pPr>
      <w:rPr>
        <w:rFonts w:hint="eastAsia" w:ascii="宋体" w:hAnsi="宋体" w:eastAsia="仿宋" w:cs="宋体"/>
        <w:b/>
        <w:sz w:val="32"/>
      </w:rPr>
    </w:lvl>
    <w:lvl w:ilvl="2" w:tentative="0">
      <w:start w:val="1"/>
      <w:numFmt w:val="decimal"/>
      <w:suff w:val="nothing"/>
      <w:lvlText w:val="%3．"/>
      <w:lvlJc w:val="left"/>
      <w:pPr>
        <w:tabs>
          <w:tab w:val="left" w:pos="0"/>
        </w:tabs>
        <w:ind w:left="0" w:firstLine="0"/>
      </w:pPr>
      <w:rPr>
        <w:rFonts w:hint="eastAsia" w:ascii="Times New Roman" w:hAnsi="Times New Roman" w:eastAsia="仿宋" w:cs="宋体"/>
        <w:b/>
        <w:sz w:val="30"/>
      </w:rPr>
    </w:lvl>
    <w:lvl w:ilvl="3" w:tentative="0">
      <w:start w:val="1"/>
      <w:numFmt w:val="decimal"/>
      <w:suff w:val="nothing"/>
      <w:lvlText w:val="（%4）"/>
      <w:lvlJc w:val="left"/>
      <w:pPr>
        <w:tabs>
          <w:tab w:val="left" w:pos="0"/>
        </w:tabs>
        <w:ind w:left="0" w:firstLine="0"/>
      </w:pPr>
      <w:rPr>
        <w:rFonts w:hint="eastAsia" w:ascii="Times New Roman" w:hAnsi="Times New Roman" w:eastAsia="仿宋" w:cs="宋体"/>
        <w:b/>
        <w:sz w:val="28"/>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TlkNWU1ZGI0NTMzMzFhMWZhYWRiOTc0NTQ1NmIifQ=="/>
  </w:docVars>
  <w:rsids>
    <w:rsidRoot w:val="00C9591D"/>
    <w:rsid w:val="00004337"/>
    <w:rsid w:val="001A343B"/>
    <w:rsid w:val="005C6527"/>
    <w:rsid w:val="005D21B5"/>
    <w:rsid w:val="00641570"/>
    <w:rsid w:val="00901EFC"/>
    <w:rsid w:val="00A25D43"/>
    <w:rsid w:val="00A717D4"/>
    <w:rsid w:val="00B561ED"/>
    <w:rsid w:val="00C9591D"/>
    <w:rsid w:val="00E0770D"/>
    <w:rsid w:val="00E73AFE"/>
    <w:rsid w:val="00EB5C43"/>
    <w:rsid w:val="010E1127"/>
    <w:rsid w:val="013C06BC"/>
    <w:rsid w:val="016E54D2"/>
    <w:rsid w:val="01782E3F"/>
    <w:rsid w:val="01C120D0"/>
    <w:rsid w:val="020F624C"/>
    <w:rsid w:val="02104022"/>
    <w:rsid w:val="023B4412"/>
    <w:rsid w:val="02DC5CB3"/>
    <w:rsid w:val="032B5FEF"/>
    <w:rsid w:val="0334297A"/>
    <w:rsid w:val="03A52548"/>
    <w:rsid w:val="03BC7E2E"/>
    <w:rsid w:val="04243DB5"/>
    <w:rsid w:val="04BF763A"/>
    <w:rsid w:val="04C904B8"/>
    <w:rsid w:val="04FF1F9F"/>
    <w:rsid w:val="066E1317"/>
    <w:rsid w:val="06BD229F"/>
    <w:rsid w:val="07175632"/>
    <w:rsid w:val="076745CB"/>
    <w:rsid w:val="07C22F76"/>
    <w:rsid w:val="07CF5DE6"/>
    <w:rsid w:val="07D773FC"/>
    <w:rsid w:val="087819DE"/>
    <w:rsid w:val="08C03D58"/>
    <w:rsid w:val="0A03621B"/>
    <w:rsid w:val="0A3A1862"/>
    <w:rsid w:val="0A6D26C1"/>
    <w:rsid w:val="0A761D9A"/>
    <w:rsid w:val="0ADD6A6C"/>
    <w:rsid w:val="0AFF2E86"/>
    <w:rsid w:val="0B1F0E32"/>
    <w:rsid w:val="0B776EC0"/>
    <w:rsid w:val="0BBA0474"/>
    <w:rsid w:val="0D0E73B0"/>
    <w:rsid w:val="0D57599F"/>
    <w:rsid w:val="0D83393E"/>
    <w:rsid w:val="0DC42165"/>
    <w:rsid w:val="0E172435"/>
    <w:rsid w:val="0E56100F"/>
    <w:rsid w:val="0EC00B7E"/>
    <w:rsid w:val="0EC266A4"/>
    <w:rsid w:val="0EC56195"/>
    <w:rsid w:val="0F6D029D"/>
    <w:rsid w:val="0F713C26"/>
    <w:rsid w:val="0FD83CA6"/>
    <w:rsid w:val="0FDF5034"/>
    <w:rsid w:val="0FE25190"/>
    <w:rsid w:val="104F1E11"/>
    <w:rsid w:val="11395683"/>
    <w:rsid w:val="119D51A7"/>
    <w:rsid w:val="11A958FA"/>
    <w:rsid w:val="11C20769"/>
    <w:rsid w:val="121328E5"/>
    <w:rsid w:val="123553DF"/>
    <w:rsid w:val="123F4D19"/>
    <w:rsid w:val="12863E8D"/>
    <w:rsid w:val="12883761"/>
    <w:rsid w:val="137361BF"/>
    <w:rsid w:val="145315E4"/>
    <w:rsid w:val="15027B80"/>
    <w:rsid w:val="158D63B9"/>
    <w:rsid w:val="15A63162"/>
    <w:rsid w:val="15F449B2"/>
    <w:rsid w:val="16383C52"/>
    <w:rsid w:val="16702E8A"/>
    <w:rsid w:val="16B5089D"/>
    <w:rsid w:val="175005C5"/>
    <w:rsid w:val="181B0BD3"/>
    <w:rsid w:val="181D1E1F"/>
    <w:rsid w:val="182C45CC"/>
    <w:rsid w:val="1862520D"/>
    <w:rsid w:val="189501D2"/>
    <w:rsid w:val="19722A75"/>
    <w:rsid w:val="19D714B0"/>
    <w:rsid w:val="19E71DF4"/>
    <w:rsid w:val="19F90C1E"/>
    <w:rsid w:val="1A340CCE"/>
    <w:rsid w:val="1A547635"/>
    <w:rsid w:val="1A7016AA"/>
    <w:rsid w:val="1AE856E5"/>
    <w:rsid w:val="1C3A1F70"/>
    <w:rsid w:val="1C4E77C9"/>
    <w:rsid w:val="1C6F597C"/>
    <w:rsid w:val="1CA53161"/>
    <w:rsid w:val="1CC01D49"/>
    <w:rsid w:val="1CDC3779"/>
    <w:rsid w:val="1DAF24EA"/>
    <w:rsid w:val="1DCE4E9C"/>
    <w:rsid w:val="1DEF0B38"/>
    <w:rsid w:val="1E2851F8"/>
    <w:rsid w:val="1E4C5F8A"/>
    <w:rsid w:val="1E6A6411"/>
    <w:rsid w:val="1EA044C3"/>
    <w:rsid w:val="1F0B7BF4"/>
    <w:rsid w:val="1F1D7927"/>
    <w:rsid w:val="1F446F7A"/>
    <w:rsid w:val="20947DAF"/>
    <w:rsid w:val="20A756FA"/>
    <w:rsid w:val="20AC7E9E"/>
    <w:rsid w:val="21735783"/>
    <w:rsid w:val="223A2D60"/>
    <w:rsid w:val="227349F6"/>
    <w:rsid w:val="2283030E"/>
    <w:rsid w:val="22B77DB2"/>
    <w:rsid w:val="23447230"/>
    <w:rsid w:val="24466FD8"/>
    <w:rsid w:val="247010E2"/>
    <w:rsid w:val="25597366"/>
    <w:rsid w:val="2561056D"/>
    <w:rsid w:val="25624FED"/>
    <w:rsid w:val="25C66622"/>
    <w:rsid w:val="25CB5E03"/>
    <w:rsid w:val="2624159B"/>
    <w:rsid w:val="26395046"/>
    <w:rsid w:val="26A83F7A"/>
    <w:rsid w:val="270F5DA7"/>
    <w:rsid w:val="272A0E33"/>
    <w:rsid w:val="273D0B66"/>
    <w:rsid w:val="274E4D44"/>
    <w:rsid w:val="27B64A81"/>
    <w:rsid w:val="27DC037F"/>
    <w:rsid w:val="28235F0B"/>
    <w:rsid w:val="288325A9"/>
    <w:rsid w:val="28DD16FE"/>
    <w:rsid w:val="2A1A4CB4"/>
    <w:rsid w:val="2A7A3E7F"/>
    <w:rsid w:val="2A885BC1"/>
    <w:rsid w:val="2A9071FF"/>
    <w:rsid w:val="2ABA24CE"/>
    <w:rsid w:val="2BEA7520"/>
    <w:rsid w:val="2C513B81"/>
    <w:rsid w:val="2CF47F19"/>
    <w:rsid w:val="2D097FBD"/>
    <w:rsid w:val="2E334A71"/>
    <w:rsid w:val="2EED69CE"/>
    <w:rsid w:val="2EFC1307"/>
    <w:rsid w:val="2F2653C1"/>
    <w:rsid w:val="2F2716DA"/>
    <w:rsid w:val="2F7112CC"/>
    <w:rsid w:val="2FFC72B0"/>
    <w:rsid w:val="30970224"/>
    <w:rsid w:val="311C359A"/>
    <w:rsid w:val="316C361E"/>
    <w:rsid w:val="318F6462"/>
    <w:rsid w:val="31A33CBC"/>
    <w:rsid w:val="31D71BB7"/>
    <w:rsid w:val="31E42251"/>
    <w:rsid w:val="32340893"/>
    <w:rsid w:val="32367636"/>
    <w:rsid w:val="32FC29C2"/>
    <w:rsid w:val="332901F1"/>
    <w:rsid w:val="3338220B"/>
    <w:rsid w:val="335A484E"/>
    <w:rsid w:val="345D1EA3"/>
    <w:rsid w:val="362F2524"/>
    <w:rsid w:val="36407D2B"/>
    <w:rsid w:val="36527A5E"/>
    <w:rsid w:val="3684230E"/>
    <w:rsid w:val="36CA3A99"/>
    <w:rsid w:val="37184804"/>
    <w:rsid w:val="372633C5"/>
    <w:rsid w:val="37947CEA"/>
    <w:rsid w:val="37985945"/>
    <w:rsid w:val="379E11AD"/>
    <w:rsid w:val="37D84221"/>
    <w:rsid w:val="37F76B0F"/>
    <w:rsid w:val="386677F1"/>
    <w:rsid w:val="386F2B4A"/>
    <w:rsid w:val="38710670"/>
    <w:rsid w:val="38B22A36"/>
    <w:rsid w:val="38B642D4"/>
    <w:rsid w:val="39040613"/>
    <w:rsid w:val="39A700C1"/>
    <w:rsid w:val="3A0F2EAC"/>
    <w:rsid w:val="3A3A0F35"/>
    <w:rsid w:val="3AD9074E"/>
    <w:rsid w:val="3B487DD2"/>
    <w:rsid w:val="3BEE647B"/>
    <w:rsid w:val="3BEF7718"/>
    <w:rsid w:val="3C3D701D"/>
    <w:rsid w:val="3CC527C1"/>
    <w:rsid w:val="3CFD25D6"/>
    <w:rsid w:val="3D4A76E1"/>
    <w:rsid w:val="3D51281E"/>
    <w:rsid w:val="3DB01C3A"/>
    <w:rsid w:val="3DB77095"/>
    <w:rsid w:val="3DBD6105"/>
    <w:rsid w:val="3DD47A3F"/>
    <w:rsid w:val="3E101D1C"/>
    <w:rsid w:val="3E9055C8"/>
    <w:rsid w:val="3EC314F9"/>
    <w:rsid w:val="3F48599E"/>
    <w:rsid w:val="3F4F4696"/>
    <w:rsid w:val="3F6A6298"/>
    <w:rsid w:val="4033511A"/>
    <w:rsid w:val="40794B35"/>
    <w:rsid w:val="41BB6E00"/>
    <w:rsid w:val="41C21F3C"/>
    <w:rsid w:val="41EC520B"/>
    <w:rsid w:val="42295291"/>
    <w:rsid w:val="42562684"/>
    <w:rsid w:val="42787C0A"/>
    <w:rsid w:val="42B32F81"/>
    <w:rsid w:val="42C46168"/>
    <w:rsid w:val="43374264"/>
    <w:rsid w:val="442742D8"/>
    <w:rsid w:val="44352E99"/>
    <w:rsid w:val="44D8093C"/>
    <w:rsid w:val="452A22D2"/>
    <w:rsid w:val="455813AE"/>
    <w:rsid w:val="456E4E81"/>
    <w:rsid w:val="45921C25"/>
    <w:rsid w:val="45C05E37"/>
    <w:rsid w:val="460F771A"/>
    <w:rsid w:val="468266D9"/>
    <w:rsid w:val="47A0687C"/>
    <w:rsid w:val="47A143A2"/>
    <w:rsid w:val="47C17CFE"/>
    <w:rsid w:val="48657F2A"/>
    <w:rsid w:val="48AB197C"/>
    <w:rsid w:val="4A0362EE"/>
    <w:rsid w:val="4A176B9D"/>
    <w:rsid w:val="4A3B6D2F"/>
    <w:rsid w:val="4BAF1783"/>
    <w:rsid w:val="4C123AC0"/>
    <w:rsid w:val="4C373527"/>
    <w:rsid w:val="4C8B3DD4"/>
    <w:rsid w:val="4D041640"/>
    <w:rsid w:val="4D460313"/>
    <w:rsid w:val="4D472FA1"/>
    <w:rsid w:val="4D476A5E"/>
    <w:rsid w:val="4DA92202"/>
    <w:rsid w:val="4E437F61"/>
    <w:rsid w:val="4E477DF6"/>
    <w:rsid w:val="4E73063A"/>
    <w:rsid w:val="4F844CD5"/>
    <w:rsid w:val="4FE65048"/>
    <w:rsid w:val="4FFC0D0F"/>
    <w:rsid w:val="50052FF4"/>
    <w:rsid w:val="5041514D"/>
    <w:rsid w:val="50AD2009"/>
    <w:rsid w:val="52075749"/>
    <w:rsid w:val="52CA0F7A"/>
    <w:rsid w:val="539D45B7"/>
    <w:rsid w:val="53B1058C"/>
    <w:rsid w:val="53BD4187"/>
    <w:rsid w:val="541859EC"/>
    <w:rsid w:val="543D36A4"/>
    <w:rsid w:val="544E765F"/>
    <w:rsid w:val="54972199"/>
    <w:rsid w:val="55937A20"/>
    <w:rsid w:val="55AB748F"/>
    <w:rsid w:val="55DD0209"/>
    <w:rsid w:val="55E42029"/>
    <w:rsid w:val="563310BE"/>
    <w:rsid w:val="5656110D"/>
    <w:rsid w:val="56666585"/>
    <w:rsid w:val="569A3030"/>
    <w:rsid w:val="56A1616C"/>
    <w:rsid w:val="57541431"/>
    <w:rsid w:val="57D919A4"/>
    <w:rsid w:val="57ED28E9"/>
    <w:rsid w:val="58112E7E"/>
    <w:rsid w:val="581D4903"/>
    <w:rsid w:val="583214E0"/>
    <w:rsid w:val="58CC1389"/>
    <w:rsid w:val="58D75E75"/>
    <w:rsid w:val="59063EF6"/>
    <w:rsid w:val="59101751"/>
    <w:rsid w:val="59701E26"/>
    <w:rsid w:val="5991139A"/>
    <w:rsid w:val="59E545C2"/>
    <w:rsid w:val="59E55838"/>
    <w:rsid w:val="5A674620"/>
    <w:rsid w:val="5A7A6A7D"/>
    <w:rsid w:val="5AA026E6"/>
    <w:rsid w:val="5AF8590C"/>
    <w:rsid w:val="5BB92FBA"/>
    <w:rsid w:val="5C7F0CFE"/>
    <w:rsid w:val="5D1F428F"/>
    <w:rsid w:val="5E59732C"/>
    <w:rsid w:val="5E5F3717"/>
    <w:rsid w:val="5EC62C14"/>
    <w:rsid w:val="5F1F2324"/>
    <w:rsid w:val="5F3F6522"/>
    <w:rsid w:val="5FB57FD0"/>
    <w:rsid w:val="5FE61094"/>
    <w:rsid w:val="601804C5"/>
    <w:rsid w:val="604C7149"/>
    <w:rsid w:val="6057789C"/>
    <w:rsid w:val="60DD4245"/>
    <w:rsid w:val="614D13CA"/>
    <w:rsid w:val="61896E97"/>
    <w:rsid w:val="61E3614F"/>
    <w:rsid w:val="61F061FA"/>
    <w:rsid w:val="6232236E"/>
    <w:rsid w:val="634C7460"/>
    <w:rsid w:val="63C27722"/>
    <w:rsid w:val="64330CDF"/>
    <w:rsid w:val="64562D15"/>
    <w:rsid w:val="64805613"/>
    <w:rsid w:val="64DB0A9B"/>
    <w:rsid w:val="65CD36ED"/>
    <w:rsid w:val="65D42AD7"/>
    <w:rsid w:val="66061B48"/>
    <w:rsid w:val="66952ECC"/>
    <w:rsid w:val="66FB3677"/>
    <w:rsid w:val="677C6D9D"/>
    <w:rsid w:val="67D6379C"/>
    <w:rsid w:val="67EB5567"/>
    <w:rsid w:val="67F41FE9"/>
    <w:rsid w:val="68085778"/>
    <w:rsid w:val="688A4CB2"/>
    <w:rsid w:val="688D2938"/>
    <w:rsid w:val="68A723FF"/>
    <w:rsid w:val="697D65C5"/>
    <w:rsid w:val="6A3824EC"/>
    <w:rsid w:val="6AD96E0B"/>
    <w:rsid w:val="6B182670"/>
    <w:rsid w:val="6B361121"/>
    <w:rsid w:val="6B3B6738"/>
    <w:rsid w:val="6B6537B4"/>
    <w:rsid w:val="6B7C1B7E"/>
    <w:rsid w:val="6B9E3FFC"/>
    <w:rsid w:val="6C865790"/>
    <w:rsid w:val="6CB261E1"/>
    <w:rsid w:val="6CCE7137"/>
    <w:rsid w:val="6D090170"/>
    <w:rsid w:val="6D237483"/>
    <w:rsid w:val="6D8C327A"/>
    <w:rsid w:val="6D992FE7"/>
    <w:rsid w:val="6DCD7245"/>
    <w:rsid w:val="6E0340F1"/>
    <w:rsid w:val="6E1D2124"/>
    <w:rsid w:val="6E49116B"/>
    <w:rsid w:val="6E51053D"/>
    <w:rsid w:val="6E5D4C17"/>
    <w:rsid w:val="6E6D2905"/>
    <w:rsid w:val="6EAE1443"/>
    <w:rsid w:val="6F0D4695"/>
    <w:rsid w:val="6F40431D"/>
    <w:rsid w:val="6F563B40"/>
    <w:rsid w:val="6F6322D5"/>
    <w:rsid w:val="7056218C"/>
    <w:rsid w:val="70DF018D"/>
    <w:rsid w:val="71BE777B"/>
    <w:rsid w:val="722C6DDA"/>
    <w:rsid w:val="72D8486C"/>
    <w:rsid w:val="72E23E9F"/>
    <w:rsid w:val="74DE68E8"/>
    <w:rsid w:val="751F6782"/>
    <w:rsid w:val="758D7B90"/>
    <w:rsid w:val="75CB06B8"/>
    <w:rsid w:val="76353E94"/>
    <w:rsid w:val="76424E1E"/>
    <w:rsid w:val="767F4D5D"/>
    <w:rsid w:val="76BF646F"/>
    <w:rsid w:val="78063C29"/>
    <w:rsid w:val="782C7B34"/>
    <w:rsid w:val="78D43D28"/>
    <w:rsid w:val="78F45A6B"/>
    <w:rsid w:val="7961380D"/>
    <w:rsid w:val="79D93881"/>
    <w:rsid w:val="79E306C6"/>
    <w:rsid w:val="7A527798"/>
    <w:rsid w:val="7A8C079F"/>
    <w:rsid w:val="7B1728DD"/>
    <w:rsid w:val="7BBC2F7D"/>
    <w:rsid w:val="7C0466D2"/>
    <w:rsid w:val="7C134B67"/>
    <w:rsid w:val="7C3A1BEA"/>
    <w:rsid w:val="7C4259AE"/>
    <w:rsid w:val="7CAA1027"/>
    <w:rsid w:val="7CCF4F32"/>
    <w:rsid w:val="7D662CB3"/>
    <w:rsid w:val="7D984F94"/>
    <w:rsid w:val="7DB35B9C"/>
    <w:rsid w:val="7E7318ED"/>
    <w:rsid w:val="7EC64112"/>
    <w:rsid w:val="7ECD2C87"/>
    <w:rsid w:val="7F2D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numPr>
        <w:ilvl w:val="1"/>
        <w:numId w:val="1"/>
      </w:numPr>
      <w:spacing w:before="50" w:beforeLines="50"/>
      <w:ind w:firstLine="560"/>
      <w:outlineLvl w:val="1"/>
    </w:pPr>
    <w:rPr>
      <w:rFonts w:eastAsia="楷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6353</Words>
  <Characters>14018</Characters>
  <Lines>81</Lines>
  <Paragraphs>22</Paragraphs>
  <TotalTime>7</TotalTime>
  <ScaleCrop>false</ScaleCrop>
  <LinksUpToDate>false</LinksUpToDate>
  <CharactersWithSpaces>14161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HX2</cp:lastModifiedBy>
  <dcterms:modified xsi:type="dcterms:W3CDTF">2023-10-07T09:39:10Z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95B065975226427292EDF3C059203D65_13</vt:lpwstr>
  </property>
</Properties>
</file>