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cs="黑体"/>
          <w:kern w:val="0"/>
          <w:sz w:val="52"/>
          <w:szCs w:val="52"/>
        </w:rPr>
      </w:pPr>
      <w:r>
        <w:rPr>
          <w:rFonts w:hint="eastAsia" w:ascii="黑体" w:hAnsi="黑体" w:eastAsia="黑体" w:cs="黑体"/>
          <w:bCs/>
          <w:color w:val="000000"/>
          <w:sz w:val="52"/>
          <w:szCs w:val="52"/>
          <w:u w:val="single"/>
        </w:rPr>
        <w:t>百色起义纪念园管理中心（本级）</w:t>
      </w:r>
      <w:r>
        <w:rPr>
          <w:rFonts w:ascii="黑体" w:hAnsi="黑体" w:eastAsia="黑体" w:cs="黑体"/>
          <w:color w:val="000000"/>
          <w:sz w:val="52"/>
          <w:u w:val="single" w:color="auto"/>
        </w:rPr>
        <w:t xml:space="preserve"> </w:t>
      </w:r>
      <w:r>
        <w:rPr>
          <w:rFonts w:hint="eastAsia" w:ascii="黑体" w:hAnsi="黑体" w:eastAsia="黑体" w:cs="黑体"/>
          <w:kern w:val="0"/>
          <w:sz w:val="52"/>
          <w:szCs w:val="52"/>
        </w:rPr>
        <w:t>2022年度部门决算</w:t>
      </w:r>
    </w:p>
    <w:p>
      <w:pPr>
        <w:rPr>
          <w:rFonts w:ascii="方正小标宋简体" w:eastAsia="方正小标宋简体"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ind w:firstLine="646"/>
        <w:jc w:val="center"/>
        <w:rPr>
          <w:rFonts w:hint="eastAsia" w:ascii="黑体" w:hAnsi="黑体" w:eastAsia="黑体" w:cs="黑体"/>
          <w:b/>
          <w:sz w:val="44"/>
          <w:szCs w:val="44"/>
        </w:rPr>
      </w:pP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百色起义纪念园管理中心（本级）</w:t>
      </w:r>
      <w:r>
        <w:rPr>
          <w:rFonts w:hint="eastAsia" w:ascii="黑体" w:hAnsi="黑体" w:eastAsia="黑体"/>
          <w:sz w:val="32"/>
          <w:szCs w:val="32"/>
        </w:rPr>
        <w:t>概况</w:t>
      </w:r>
    </w:p>
    <w:p>
      <w:pPr>
        <w:ind w:firstLine="645"/>
        <w:rPr>
          <w:rFonts w:hint="eastAsia" w:ascii="仿宋" w:hAnsi="仿宋" w:eastAsia="仿宋" w:cs="仿宋"/>
          <w:sz w:val="32"/>
          <w:szCs w:val="32"/>
        </w:rPr>
      </w:pPr>
      <w:r>
        <w:rPr>
          <w:rFonts w:hint="eastAsia" w:ascii="仿宋" w:hAnsi="仿宋" w:eastAsia="仿宋" w:cs="仿宋"/>
          <w:sz w:val="32"/>
          <w:szCs w:val="32"/>
        </w:rPr>
        <w:t>一、主要职能</w:t>
      </w:r>
    </w:p>
    <w:p>
      <w:pPr>
        <w:ind w:firstLine="645"/>
        <w:rPr>
          <w:rFonts w:ascii="仿宋_GB2312" w:eastAsia="仿宋_GB2312"/>
          <w:sz w:val="32"/>
          <w:szCs w:val="32"/>
        </w:rPr>
      </w:pPr>
      <w:r>
        <w:rPr>
          <w:rFonts w:hint="eastAsia" w:ascii="仿宋" w:hAnsi="仿宋" w:eastAsia="仿宋" w:cs="仿宋"/>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百色起义纪念园管理中心（本级）</w:t>
      </w:r>
      <w:r>
        <w:rPr>
          <w:rFonts w:hint="eastAsia" w:ascii="黑体" w:hAnsi="黑体" w:eastAsia="黑体"/>
          <w:sz w:val="32"/>
          <w:szCs w:val="32"/>
        </w:rPr>
        <w:t>2022年度部门决算报表</w:t>
      </w:r>
    </w:p>
    <w:p>
      <w:pPr>
        <w:ind w:left="645"/>
        <w:rPr>
          <w:rFonts w:hint="eastAsia" w:ascii="仿宋" w:hAnsi="仿宋" w:eastAsia="仿宋" w:cs="仿宋"/>
          <w:sz w:val="32"/>
          <w:szCs w:val="32"/>
        </w:rPr>
      </w:pPr>
      <w:r>
        <w:rPr>
          <w:rFonts w:hint="eastAsia" w:ascii="仿宋" w:hAnsi="仿宋" w:eastAsia="仿宋" w:cs="仿宋"/>
          <w:sz w:val="32"/>
          <w:szCs w:val="32"/>
        </w:rPr>
        <w:t>表一：收入支出决算总表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表二：收入决算表</w:t>
      </w:r>
    </w:p>
    <w:p>
      <w:pPr>
        <w:ind w:left="645"/>
        <w:rPr>
          <w:rFonts w:hint="eastAsia" w:ascii="仿宋" w:hAnsi="仿宋" w:eastAsia="仿宋" w:cs="仿宋"/>
          <w:sz w:val="32"/>
          <w:szCs w:val="32"/>
        </w:rPr>
      </w:pPr>
      <w:r>
        <w:rPr>
          <w:rFonts w:hint="eastAsia" w:ascii="仿宋" w:hAnsi="仿宋" w:eastAsia="仿宋" w:cs="仿宋"/>
          <w:sz w:val="32"/>
          <w:szCs w:val="32"/>
        </w:rPr>
        <w:t>表三：支出决算表</w:t>
      </w:r>
    </w:p>
    <w:p>
      <w:pPr>
        <w:ind w:left="645"/>
        <w:rPr>
          <w:rFonts w:hint="eastAsia" w:ascii="仿宋" w:hAnsi="仿宋" w:eastAsia="仿宋" w:cs="仿宋"/>
          <w:sz w:val="32"/>
          <w:szCs w:val="32"/>
        </w:rPr>
      </w:pPr>
      <w:r>
        <w:rPr>
          <w:rFonts w:hint="eastAsia" w:ascii="仿宋" w:hAnsi="仿宋" w:eastAsia="仿宋" w:cs="仿宋"/>
          <w:sz w:val="32"/>
          <w:szCs w:val="32"/>
        </w:rPr>
        <w:t>表四：财政拨款收入支出决算总表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表五：一般公共预算财政拨款支出决算表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表六：一般公共预算财政拨款基本支出决算明细表</w:t>
      </w:r>
    </w:p>
    <w:p>
      <w:pPr>
        <w:ind w:left="645"/>
        <w:rPr>
          <w:rFonts w:hint="eastAsia" w:ascii="仿宋" w:hAnsi="仿宋" w:eastAsia="仿宋" w:cs="仿宋"/>
          <w:sz w:val="32"/>
          <w:szCs w:val="32"/>
        </w:rPr>
      </w:pPr>
      <w:r>
        <w:rPr>
          <w:rFonts w:hint="eastAsia" w:ascii="仿宋" w:hAnsi="仿宋" w:eastAsia="仿宋" w:cs="仿宋"/>
          <w:sz w:val="32"/>
          <w:szCs w:val="32"/>
        </w:rPr>
        <w:t>表七：政府性基金预算财政拨款收入支出决算表</w:t>
      </w:r>
    </w:p>
    <w:p>
      <w:pPr>
        <w:ind w:left="645"/>
        <w:rPr>
          <w:rFonts w:hint="eastAsia" w:ascii="仿宋" w:hAnsi="仿宋" w:eastAsia="仿宋" w:cs="仿宋"/>
          <w:sz w:val="32"/>
          <w:szCs w:val="32"/>
        </w:rPr>
      </w:pPr>
      <w:r>
        <w:rPr>
          <w:rFonts w:hint="eastAsia" w:ascii="仿宋" w:hAnsi="仿宋" w:eastAsia="仿宋" w:cs="仿宋"/>
          <w:sz w:val="32"/>
          <w:szCs w:val="32"/>
        </w:rPr>
        <w:t>表八：国有资本经营预算财政拨款支出决算表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表九：一般公共预算财政拨款安排的“三公”经费支出决算表</w:t>
      </w:r>
    </w:p>
    <w:p>
      <w:pPr>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single"/>
        </w:rPr>
        <w:t>百色起义纪念园管理中心（本级）</w:t>
      </w:r>
      <w:r>
        <w:rPr>
          <w:rFonts w:hint="eastAsia" w:ascii="黑体" w:hAnsi="黑体" w:eastAsia="黑体"/>
          <w:sz w:val="32"/>
          <w:szCs w:val="32"/>
        </w:rPr>
        <w:t>2022年度部门决算情况说明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一、2022年度收入支出决算总体情况。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二、2022年度</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四、2022年度政府性基金支出决算情况。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五、2022年度国有资本经营预算支出决算情况。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七、其他重要事项情况说明。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八、预算绩效管理工作开展情况。</w:t>
      </w:r>
    </w:p>
    <w:p>
      <w:pPr>
        <w:ind w:firstLine="645"/>
        <w:rPr>
          <w:rFonts w:ascii="黑体" w:hAnsi="黑体" w:eastAsia="黑体"/>
          <w:sz w:val="32"/>
          <w:szCs w:val="32"/>
        </w:rPr>
      </w:pPr>
      <w:r>
        <w:rPr>
          <w:rFonts w:ascii="黑体" w:hAnsi="黑体" w:eastAsia="黑体"/>
          <w:sz w:val="32"/>
          <w:szCs w:val="32"/>
        </w:rPr>
        <w:t>第四部分:名词解释</w:t>
      </w: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6"/>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ind w:firstLine="646"/>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百色起义纪念园管理中心（本级）</w:t>
      </w:r>
      <w:r>
        <w:rPr>
          <w:rFonts w:hint="eastAsia" w:ascii="黑体" w:hAnsi="黑体" w:eastAsia="黑体"/>
          <w:bCs/>
          <w:color w:val="000000"/>
          <w:sz w:val="32"/>
          <w:szCs w:val="32"/>
        </w:rPr>
        <w:t>（</w:t>
      </w:r>
      <w:r>
        <w:rPr>
          <w:rFonts w:hint="eastAsia" w:ascii="黑体" w:hAnsi="黑体" w:eastAsia="黑体"/>
          <w:sz w:val="32"/>
          <w:szCs w:val="32"/>
        </w:rPr>
        <w:t>概况</w:t>
      </w:r>
    </w:p>
    <w:p>
      <w:pPr>
        <w:ind w:firstLine="646"/>
        <w:rPr>
          <w:rFonts w:ascii="黑体" w:hAnsi="黑体" w:eastAsia="黑体"/>
          <w:sz w:val="32"/>
          <w:szCs w:val="32"/>
        </w:rPr>
      </w:pPr>
      <w:r>
        <w:rPr>
          <w:rFonts w:hint="eastAsia" w:ascii="黑体" w:hAnsi="黑体" w:eastAsia="黑体"/>
          <w:sz w:val="32"/>
          <w:szCs w:val="32"/>
        </w:rPr>
        <w:t>一、主要职能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(1)研究提出纪念公园发展规划，报市人民政府批准后组织实施。</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(2)组织进行公园基础设施和公共设施的建设与管理。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(3)在权限范围内，对园内建设项目资金进行监督管理。</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(4)贯彻执行国家、自治区和市关于发展文博事业的方针政策，制定并落实文物保护措施，组织开展革命历史文化和民族民俗文化的研究与展示工作。</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(5)统筹安排红色文化旅游资源的管理、开发、保护和利用，组织进行红色旅游宣传、策划及市场营销。</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(6)负责单位的党群、人事、社会治安综合治理、计划生育和精神文明建设等工作。</w:t>
      </w:r>
    </w:p>
    <w:p>
      <w:pPr>
        <w:ind w:firstLine="646"/>
        <w:rPr>
          <w:rFonts w:hint="eastAsia" w:ascii="仿宋" w:hAnsi="仿宋" w:eastAsia="仿宋"/>
          <w:color w:val="000000"/>
          <w:sz w:val="32"/>
          <w:szCs w:val="32"/>
        </w:rPr>
      </w:pPr>
      <w:r>
        <w:rPr>
          <w:rFonts w:hint="eastAsia" w:ascii="仿宋" w:hAnsi="仿宋" w:eastAsia="仿宋"/>
          <w:color w:val="000000"/>
          <w:sz w:val="32"/>
          <w:szCs w:val="32"/>
        </w:rPr>
        <w:t>(7)完成市委、市政府交办的其他工作任务。</w:t>
      </w:r>
    </w:p>
    <w:p>
      <w:pPr>
        <w:ind w:firstLine="646"/>
        <w:rPr>
          <w:rFonts w:ascii="黑体" w:hAnsi="黑体" w:eastAsia="黑体"/>
          <w:sz w:val="32"/>
          <w:szCs w:val="32"/>
        </w:rPr>
      </w:pPr>
      <w:r>
        <w:rPr>
          <w:rFonts w:hint="eastAsia" w:ascii="黑体" w:hAnsi="黑体" w:eastAsia="黑体"/>
          <w:sz w:val="32"/>
          <w:szCs w:val="32"/>
        </w:rPr>
        <w:t>二、部门决算单位构成</w:t>
      </w:r>
    </w:p>
    <w:p>
      <w:pPr>
        <w:ind w:firstLine="645"/>
        <w:sectPr>
          <w:pgSz w:w="11906" w:h="16838"/>
          <w:pgMar w:top="1440" w:right="1800" w:bottom="1440" w:left="1800" w:header="851" w:footer="992" w:gutter="0"/>
          <w:cols w:space="425" w:num="1"/>
          <w:docGrid w:type="lines" w:linePitch="312" w:charSpace="0"/>
        </w:sectPr>
      </w:pPr>
      <w:r>
        <w:rPr>
          <w:rFonts w:hint="eastAsia" w:ascii="仿宋_GB2312" w:eastAsia="仿宋_GB2312"/>
          <w:color w:val="000000"/>
          <w:sz w:val="32"/>
          <w:szCs w:val="32"/>
          <w:lang w:eastAsia="zh-CN"/>
        </w:rPr>
        <w:t>百色起义纪念园管理中心</w:t>
      </w:r>
      <w:r>
        <w:rPr>
          <w:rFonts w:hint="eastAsia" w:ascii="仿宋_GB2312" w:eastAsia="仿宋_GB2312"/>
          <w:color w:val="000000"/>
          <w:sz w:val="32"/>
          <w:szCs w:val="32"/>
          <w:lang w:val="en-US" w:eastAsia="zh-CN"/>
        </w:rPr>
        <w:t>(本级)</w:t>
      </w:r>
      <w:r>
        <w:rPr>
          <w:rFonts w:hint="eastAsia" w:ascii="仿宋_GB2312" w:eastAsia="仿宋_GB2312"/>
          <w:color w:val="000000"/>
          <w:sz w:val="32"/>
          <w:szCs w:val="32"/>
        </w:rPr>
        <w:t>共</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个</w:t>
      </w:r>
      <w:r>
        <w:rPr>
          <w:rFonts w:hint="eastAsia" w:ascii="仿宋_GB2312" w:eastAsia="仿宋_GB2312"/>
          <w:color w:val="000000"/>
          <w:sz w:val="32"/>
          <w:szCs w:val="32"/>
          <w:lang w:val="en-US" w:eastAsia="zh-CN"/>
        </w:rPr>
        <w:t>科室</w:t>
      </w:r>
      <w:r>
        <w:rPr>
          <w:rFonts w:hint="eastAsia" w:ascii="仿宋_GB2312" w:eastAsia="仿宋_GB2312"/>
          <w:color w:val="000000"/>
          <w:sz w:val="32"/>
          <w:szCs w:val="32"/>
        </w:rPr>
        <w:t>，</w:t>
      </w:r>
      <w:r>
        <w:rPr>
          <w:rFonts w:hint="eastAsia" w:ascii="仿宋_GB2312" w:eastAsia="仿宋_GB2312"/>
          <w:color w:val="000000"/>
          <w:sz w:val="32"/>
          <w:szCs w:val="32"/>
          <w:lang w:eastAsia="zh-CN"/>
        </w:rPr>
        <w:t>分别是：</w:t>
      </w:r>
      <w:r>
        <w:rPr>
          <w:rFonts w:hint="eastAsia" w:ascii="仿宋_GB2312" w:eastAsia="仿宋_GB2312"/>
          <w:color w:val="000000"/>
          <w:sz w:val="32"/>
          <w:szCs w:val="32"/>
          <w:lang w:val="en-US" w:eastAsia="zh-CN"/>
        </w:rPr>
        <w:t>综合科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绩效监督科</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开发科</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lang w:val="en-US" w:eastAsia="zh-CN"/>
        </w:rPr>
        <w:t>环境建设科</w:t>
      </w:r>
      <w:r>
        <w:rPr>
          <w:rFonts w:hint="eastAsia" w:ascii="仿宋" w:hAnsi="仿宋" w:eastAsia="仿宋"/>
          <w:color w:val="auto"/>
          <w:sz w:val="32"/>
          <w:szCs w:val="32"/>
          <w:highlight w:val="none"/>
        </w:rPr>
        <w:t>。</w:t>
      </w:r>
    </w:p>
    <w:p>
      <w:pPr>
        <w:jc w:val="both"/>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百色起义纪念园管理中心（本级）</w:t>
      </w:r>
      <w:r>
        <w:rPr>
          <w:rFonts w:hint="eastAsia" w:ascii="黑体" w:hAnsi="黑体" w:eastAsia="黑体"/>
          <w:sz w:val="32"/>
          <w:szCs w:val="32"/>
        </w:rPr>
        <w:t xml:space="preserve"> 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675.44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620.84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30.85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992.13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992.13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992.13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992.13</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992.13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992.13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文化旅游体育与传媒支出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620.84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620.84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文化和旅游</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其他文化和旅游支出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文物</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610.94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610.94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博物馆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390.94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390.94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22.82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22.82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机关事业单位职业年金缴费支出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城乡社区支出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国有土地使用权出让收入安排的支出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2120803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城市建设支出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992.13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236.72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755.41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文化旅游体育与传媒支出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620.84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182.12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438.72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文化和旅游</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其他文化和旅游支出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文物</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610.94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182.12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428.82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博物馆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2070299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其他文物支出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390.94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182.12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208.82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22.82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22.82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机关事业单位职业年金缴费支出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4.90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7.22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7.22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7.22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城乡社区支出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国有土地使用权出让收入安排的支出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2120803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城市建设支出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16.53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675.44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620.84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620.84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30.85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30.85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7.22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7.22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16.53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16.53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992.13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992.13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675.44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992.13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992.13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675.44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316.69</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675.44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236.72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438.72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文化旅游体育与传媒支出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620.84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182.12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438.72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文化和旅游</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9.90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其他文化和旅游支出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9.90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文物</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610.94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182.12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428.82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博物馆</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2070299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其他文物支出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390.94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182.12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208.82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30.85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30.85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22.82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22.82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机关事业单位职业年金缴费支出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16.53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206.26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17.52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58.59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7.09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52.60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35.91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22.82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16.53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12.93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0.89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219.19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17.52</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316.69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316.69</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212</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城乡社区支出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316.69</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21208</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国有土地使用权出让收入安排的支出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316.69</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2120803</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城市建设支出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316.69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316.69</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公开09表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百色起义纪念园管理中心（本级）</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1.92</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1.80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0.12</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1.53</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1.53</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1.53</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pStyle w:val="6"/>
        <w:widowControl/>
        <w:spacing w:before="450" w:beforeAutospacing="0" w:after="450" w:afterAutospacing="0" w:line="420" w:lineRule="atLeast"/>
        <w:jc w:val="center"/>
        <w:rPr>
          <w:color w:val="000000"/>
        </w:rPr>
      </w:pPr>
      <w:r>
        <w:rPr>
          <w:rFonts w:hint="eastAsia" w:ascii="黑体" w:hAnsi="宋体" w:eastAsia="黑体" w:cs="黑体"/>
          <w:color w:val="000000"/>
          <w:sz w:val="36"/>
          <w:szCs w:val="36"/>
          <w:shd w:val="clear" w:color="auto" w:fill="FFFFFF"/>
        </w:rPr>
        <w:t>第三部分：</w:t>
      </w:r>
      <w:r>
        <w:rPr>
          <w:rFonts w:hint="eastAsia" w:ascii="黑体" w:hAnsi="黑体" w:eastAsia="黑体"/>
          <w:bCs/>
          <w:color w:val="000000"/>
          <w:sz w:val="32"/>
          <w:szCs w:val="32"/>
          <w:u w:val="single"/>
        </w:rPr>
        <w:t>百色起义纪念园管理中心（本级）</w:t>
      </w:r>
      <w:r>
        <w:rPr>
          <w:rFonts w:hint="eastAsia" w:ascii="黑体" w:hAnsi="宋体" w:eastAsia="黑体" w:cs="黑体"/>
          <w:color w:val="000000"/>
          <w:sz w:val="36"/>
          <w:szCs w:val="36"/>
          <w:shd w:val="clear" w:color="auto" w:fill="FFFFFF"/>
        </w:rPr>
        <w:t>2022年度部门决算情况说明</w:t>
      </w:r>
    </w:p>
    <w:p>
      <w:pPr>
        <w:pStyle w:val="6"/>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一、2022年度收入支出决算总体情况</w:t>
      </w:r>
    </w:p>
    <w:p>
      <w:pPr>
        <w:pStyle w:val="6"/>
        <w:widowControl/>
        <w:spacing w:before="450" w:beforeAutospacing="0" w:after="450" w:afterAutospacing="0" w:line="420" w:lineRule="atLeast"/>
        <w:ind w:left="309" w:leftChars="147" w:firstLine="641" w:firstLineChars="207"/>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 xml:space="preserve">（一）本部门2022年度总收入 </w:t>
      </w:r>
      <w:r>
        <w:rPr>
          <w:rFonts w:hint="eastAsia" w:ascii="仿宋" w:hAnsi="仿宋" w:eastAsia="仿宋" w:cs="仿宋"/>
          <w:sz w:val="31"/>
          <w:szCs w:val="31"/>
        </w:rPr>
        <w:t>992.13</w:t>
      </w:r>
      <w:r>
        <w:rPr>
          <w:rFonts w:ascii="仿宋" w:hAnsi="仿宋" w:eastAsia="仿宋" w:cs="仿宋"/>
          <w:sz w:val="31"/>
          <w:u w:color="auto"/>
        </w:rPr>
        <w:t>万元（其中本年收入  992.13万元），较2021年度决算数984.50万元， 增加7.63万元，增长0.78%。收入具体情况如下</w:t>
      </w:r>
      <w:r>
        <w:rPr>
          <w:rFonts w:hint="eastAsia" w:ascii="仿宋" w:hAnsi="仿宋" w:eastAsia="仿宋" w:cs="仿宋"/>
          <w:color w:val="000000"/>
          <w:sz w:val="31"/>
          <w:szCs w:val="31"/>
          <w:shd w:val="clear" w:color="auto" w:fill="FFFFFF"/>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 xml:space="preserve">1.一般公共预算财政拨款收入 </w:t>
      </w:r>
      <w:r>
        <w:rPr>
          <w:rFonts w:hint="eastAsia" w:ascii="仿宋" w:hAnsi="仿宋" w:eastAsia="仿宋" w:cs="仿宋"/>
          <w:sz w:val="31"/>
          <w:szCs w:val="31"/>
        </w:rPr>
        <w:t>675.44</w:t>
      </w:r>
      <w:r>
        <w:rPr>
          <w:rFonts w:ascii="仿宋" w:hAnsi="仿宋" w:eastAsia="仿宋" w:cs="仿宋"/>
          <w:sz w:val="31"/>
          <w:u w:color="auto"/>
        </w:rPr>
        <w:t>万元，为百色本级财政当年拨付的资金。较2021年度决算数 224.51万元，增加450.93万元，增长200.85%，</w:t>
      </w:r>
      <w:r>
        <w:rPr>
          <w:rFonts w:hint="eastAsia" w:ascii="仿宋" w:hAnsi="仿宋" w:eastAsia="仿宋" w:cs="仿宋"/>
          <w:color w:val="FF0000"/>
          <w:kern w:val="2"/>
          <w:sz w:val="31"/>
          <w:szCs w:val="31"/>
          <w:highlight w:val="none"/>
          <w:lang w:val="en-US" w:eastAsia="zh-CN" w:bidi="ar"/>
        </w:rPr>
        <w:t>主要原因：增加对纪念园5A景区基础设施整改投入。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FF0000"/>
          <w:kern w:val="2"/>
          <w:sz w:val="31"/>
          <w:szCs w:val="31"/>
          <w:highlight w:val="none"/>
          <w:lang w:val="en-US" w:eastAsia="zh-CN" w:bidi="ar"/>
        </w:rPr>
      </w:pPr>
      <w:r>
        <w:rPr>
          <w:rFonts w:hint="eastAsia" w:ascii="仿宋" w:hAnsi="仿宋" w:eastAsia="仿宋" w:cs="仿宋"/>
          <w:color w:val="000000"/>
          <w:sz w:val="31"/>
          <w:szCs w:val="31"/>
          <w:shd w:val="clear" w:color="auto" w:fill="FFFFFF"/>
        </w:rPr>
        <w:t>2.</w:t>
      </w:r>
      <w:r>
        <w:rPr>
          <w:rFonts w:hint="eastAsia" w:ascii="仿宋" w:hAnsi="仿宋" w:eastAsia="仿宋" w:cs="仿宋"/>
          <w:sz w:val="31"/>
          <w:szCs w:val="31"/>
        </w:rPr>
        <w:t xml:space="preserve">政府性基金预算财政拨款收入 </w:t>
      </w:r>
      <w:r>
        <w:rPr>
          <w:rFonts w:ascii="仿宋" w:hAnsi="仿宋" w:eastAsia="仿宋" w:cs="仿宋"/>
          <w:sz w:val="31"/>
          <w:u w:color="auto"/>
        </w:rPr>
        <w:t>316.69万元，为百色本级财政当年拨付的资金。较2021年度决算数 0.00万元，增加316.69万元，增长100%，</w:t>
      </w:r>
      <w:r>
        <w:rPr>
          <w:rFonts w:hint="eastAsia" w:ascii="仿宋" w:hAnsi="仿宋" w:eastAsia="仿宋" w:cs="仿宋"/>
          <w:color w:val="FF0000"/>
          <w:kern w:val="2"/>
          <w:sz w:val="31"/>
          <w:szCs w:val="31"/>
          <w:highlight w:val="none"/>
          <w:lang w:val="en-US" w:eastAsia="zh-CN" w:bidi="ar"/>
        </w:rPr>
        <w:t>主要原因：增加对纪念园5A景区基础设施整改投入。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3.</w:t>
      </w:r>
      <w:r>
        <w:rPr>
          <w:rFonts w:hint="eastAsia" w:ascii="仿宋" w:hAnsi="仿宋" w:eastAsia="仿宋" w:cs="仿宋"/>
          <w:sz w:val="31"/>
          <w:szCs w:val="31"/>
        </w:rPr>
        <w:t xml:space="preserve">国有资本经营预算财政拨款收入 </w:t>
      </w:r>
      <w:r>
        <w:rPr>
          <w:rFonts w:ascii="仿宋" w:hAnsi="仿宋" w:eastAsia="仿宋" w:cs="仿宋"/>
          <w:sz w:val="31"/>
          <w:u w:color="auto"/>
        </w:rPr>
        <w:t>0.00万元，为百色本级财政当年拨付的资金。较2021年度决算数0.00万元，增加0.00 万元，增长0%，</w:t>
      </w:r>
      <w:r>
        <w:rPr>
          <w:rFonts w:hint="eastAsia" w:ascii="仿宋" w:hAnsi="仿宋" w:eastAsia="仿宋" w:cs="仿宋"/>
          <w:color w:val="FF0000"/>
          <w:kern w:val="2"/>
          <w:sz w:val="31"/>
          <w:szCs w:val="31"/>
          <w:highlight w:val="none"/>
          <w:lang w:val="en-US" w:eastAsia="zh-CN" w:bidi="ar"/>
        </w:rPr>
        <w:t>主要原因：无此项投入。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4.</w:t>
      </w:r>
      <w:r>
        <w:rPr>
          <w:rFonts w:hint="eastAsia" w:ascii="仿宋" w:hAnsi="仿宋" w:eastAsia="仿宋" w:cs="仿宋"/>
          <w:sz w:val="31"/>
          <w:szCs w:val="31"/>
        </w:rPr>
        <w:t xml:space="preserve">上级补助收入 </w:t>
      </w:r>
      <w:r>
        <w:rPr>
          <w:rFonts w:ascii="仿宋" w:hAnsi="仿宋" w:eastAsia="仿宋" w:cs="仿宋"/>
          <w:sz w:val="31"/>
          <w:u w:color="auto"/>
        </w:rPr>
        <w:t>0.00 万元，为上级部门当年拨付的资金。较2021年度决算数0.00万元，增加0.00 万元，增长0%，</w:t>
      </w:r>
      <w:r>
        <w:rPr>
          <w:rFonts w:hint="eastAsia" w:ascii="仿宋" w:hAnsi="仿宋" w:eastAsia="仿宋" w:cs="仿宋"/>
          <w:color w:val="FF0000"/>
          <w:kern w:val="2"/>
          <w:sz w:val="31"/>
          <w:szCs w:val="31"/>
          <w:highlight w:val="none"/>
          <w:lang w:val="en-US" w:eastAsia="zh-CN" w:bidi="ar"/>
        </w:rPr>
        <w:t>主要原因：无此项投入。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5.</w:t>
      </w:r>
      <w:r>
        <w:rPr>
          <w:rFonts w:hint="eastAsia" w:ascii="仿宋" w:hAnsi="仿宋" w:eastAsia="仿宋" w:cs="仿宋"/>
          <w:sz w:val="31"/>
          <w:szCs w:val="31"/>
        </w:rPr>
        <w:t>事业收入</w:t>
      </w:r>
      <w:r>
        <w:rPr>
          <w:rFonts w:ascii="仿宋" w:hAnsi="仿宋" w:eastAsia="仿宋" w:cs="仿宋"/>
          <w:sz w:val="31"/>
          <w:u w:color="auto"/>
        </w:rPr>
        <w:t>0.00万元，为事业单位开展业务活动取得的收入。较2021年度决算数 0.00万元，增加0.00 万元，增长0%，</w:t>
      </w:r>
      <w:r>
        <w:rPr>
          <w:rFonts w:hint="eastAsia" w:ascii="仿宋" w:hAnsi="仿宋" w:eastAsia="仿宋" w:cs="仿宋"/>
          <w:color w:val="FF0000"/>
          <w:kern w:val="2"/>
          <w:sz w:val="31"/>
          <w:szCs w:val="31"/>
          <w:highlight w:val="none"/>
          <w:lang w:val="en-US" w:eastAsia="zh-CN" w:bidi="ar"/>
        </w:rPr>
        <w:t>主要原因：无数据。</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6.</w:t>
      </w:r>
      <w:r>
        <w:rPr>
          <w:rFonts w:hint="eastAsia" w:ascii="仿宋" w:hAnsi="仿宋" w:eastAsia="仿宋" w:cs="仿宋"/>
          <w:sz w:val="31"/>
          <w:szCs w:val="31"/>
        </w:rPr>
        <w:t>经营收入</w:t>
      </w:r>
      <w:r>
        <w:rPr>
          <w:rFonts w:ascii="仿宋" w:hAnsi="仿宋" w:eastAsia="仿宋" w:cs="仿宋"/>
          <w:sz w:val="31"/>
          <w:u w:color="auto"/>
        </w:rPr>
        <w:t>0.00万，为事业单位在业务活动之外开展非独立核算经营活动取得的收入。较2021年度决算数0.00万元，增加0.00万元，增长0%，</w:t>
      </w:r>
      <w:r>
        <w:rPr>
          <w:rFonts w:hint="eastAsia" w:ascii="仿宋" w:hAnsi="仿宋" w:eastAsia="仿宋" w:cs="仿宋"/>
          <w:color w:val="FF0000"/>
          <w:kern w:val="2"/>
          <w:sz w:val="31"/>
          <w:szCs w:val="31"/>
          <w:highlight w:val="none"/>
          <w:lang w:val="en-US" w:eastAsia="zh-CN" w:bidi="ar"/>
        </w:rPr>
        <w:t>主要原因：无数据。</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7.</w:t>
      </w:r>
      <w:r>
        <w:rPr>
          <w:rFonts w:hint="eastAsia" w:ascii="仿宋" w:hAnsi="仿宋" w:eastAsia="仿宋" w:cs="仿宋"/>
          <w:sz w:val="31"/>
          <w:szCs w:val="31"/>
        </w:rPr>
        <w:t>附属单位上缴收入</w:t>
      </w:r>
      <w:r>
        <w:rPr>
          <w:rFonts w:ascii="仿宋" w:hAnsi="仿宋" w:eastAsia="仿宋" w:cs="仿宋"/>
          <w:sz w:val="31"/>
          <w:u w:color="auto"/>
        </w:rPr>
        <w:t>0.00万元。较2021年度决算数0.00万元，增加0.00 万元，增长0%，</w:t>
      </w:r>
      <w:r>
        <w:rPr>
          <w:rFonts w:hint="eastAsia" w:ascii="仿宋" w:hAnsi="仿宋" w:eastAsia="仿宋" w:cs="仿宋"/>
          <w:color w:val="FF0000"/>
          <w:kern w:val="2"/>
          <w:sz w:val="31"/>
          <w:szCs w:val="31"/>
          <w:highlight w:val="none"/>
          <w:lang w:val="en-US" w:eastAsia="zh-CN" w:bidi="ar"/>
        </w:rPr>
        <w:t>主要原因：无数据。</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8.</w:t>
      </w:r>
      <w:r>
        <w:rPr>
          <w:rFonts w:hint="eastAsia" w:ascii="仿宋" w:hAnsi="仿宋" w:eastAsia="仿宋" w:cs="仿宋"/>
          <w:sz w:val="31"/>
          <w:szCs w:val="31"/>
        </w:rPr>
        <w:t>其他收入</w:t>
      </w:r>
      <w:r>
        <w:rPr>
          <w:rFonts w:ascii="仿宋" w:hAnsi="仿宋" w:eastAsia="仿宋" w:cs="仿宋"/>
          <w:sz w:val="31"/>
          <w:u w:color="auto"/>
        </w:rPr>
        <w:t>0.00万元，为预算单位在“财政拨款收入”“事业收入”“经营收入”之外取得的收入。较2021年度决算数0.00万元，增加0.00万元，增长0%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主要原因：无数据。</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9.使用非财政拨款结余</w:t>
      </w:r>
      <w:r>
        <w:rPr>
          <w:rFonts w:hint="eastAsia" w:ascii="仿宋" w:hAnsi="仿宋" w:eastAsia="仿宋" w:cs="仿宋"/>
          <w:sz w:val="31"/>
          <w:szCs w:val="31"/>
        </w:rPr>
        <w:t>0.00</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kern w:val="2"/>
          <w:sz w:val="31"/>
          <w:szCs w:val="31"/>
          <w:highlight w:val="none"/>
          <w:lang w:val="en-US" w:eastAsia="zh-CN" w:bidi="ar"/>
        </w:rPr>
        <w:t>主要是……</w:t>
      </w:r>
      <w:r>
        <w:rPr>
          <w:rFonts w:hint="eastAsia" w:ascii="仿宋" w:hAnsi="仿宋" w:eastAsia="仿宋" w:cs="仿宋"/>
          <w:color w:val="000000"/>
          <w:sz w:val="31"/>
          <w:szCs w:val="31"/>
          <w:shd w:val="clear" w:color="auto" w:fill="FFFFFF"/>
        </w:rPr>
        <w:t xml:space="preserve"> 较2021年度决算数</w:t>
      </w:r>
      <w:r>
        <w:rPr>
          <w:rFonts w:hint="eastAsia" w:ascii="仿宋" w:hAnsi="仿宋" w:eastAsia="仿宋" w:cs="仿宋"/>
          <w:sz w:val="31"/>
          <w:szCs w:val="31"/>
        </w:rPr>
        <w:t>0.00</w:t>
      </w:r>
      <w:r>
        <w:rPr>
          <w:rFonts w:ascii="仿宋" w:hAnsi="仿宋" w:eastAsia="仿宋" w:cs="仿宋"/>
          <w:sz w:val="31"/>
          <w:u w:color="auto"/>
        </w:rPr>
        <w:t>万元，增加0.00 万元，增长0%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主要原因：无数据。</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10.年初结转和结余</w:t>
      </w:r>
      <w:r>
        <w:rPr>
          <w:rFonts w:hint="eastAsia" w:ascii="仿宋" w:hAnsi="仿宋" w:eastAsia="仿宋" w:cs="仿宋"/>
          <w:sz w:val="31"/>
          <w:szCs w:val="31"/>
        </w:rPr>
        <w:t>0.00</w:t>
      </w:r>
      <w:r>
        <w:rPr>
          <w:rFonts w:hint="eastAsia" w:ascii="仿宋" w:hAnsi="仿宋" w:eastAsia="仿宋" w:cs="仿宋"/>
          <w:color w:val="000000"/>
          <w:sz w:val="31"/>
          <w:szCs w:val="31"/>
          <w:shd w:val="clear" w:color="auto" w:fill="FFFFFF"/>
        </w:rPr>
        <w:t>万元，为以前年度支出预算因客观条件变化未执行完毕、结转到本年度按有关规定继续使用的资金。较2021年度决算数</w:t>
      </w:r>
      <w:r>
        <w:rPr>
          <w:rFonts w:hint="eastAsia" w:ascii="仿宋" w:hAnsi="仿宋" w:eastAsia="仿宋" w:cs="仿宋"/>
          <w:sz w:val="31"/>
          <w:szCs w:val="31"/>
        </w:rPr>
        <w:t>760.00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减少760.00</w:t>
      </w:r>
      <w:r>
        <w:rPr>
          <w:rFonts w:hint="eastAsia" w:ascii="仿宋" w:hAnsi="仿宋" w:eastAsia="仿宋" w:cs="仿宋"/>
          <w:color w:val="000000"/>
          <w:sz w:val="31"/>
          <w:szCs w:val="31"/>
          <w:shd w:val="clear" w:color="auto" w:fill="FFFFFF"/>
        </w:rPr>
        <w:t>万元，</w:t>
      </w:r>
      <w:r>
        <w:rPr>
          <w:rFonts w:ascii="仿宋" w:hAnsi="仿宋" w:eastAsia="仿宋" w:cs="仿宋"/>
          <w:color w:val="000000"/>
          <w:sz w:val="31"/>
          <w:u w:color="auto"/>
        </w:rPr>
        <w:t>下降100.00%，</w:t>
      </w:r>
      <w:r>
        <w:rPr>
          <w:rFonts w:hint="eastAsia" w:ascii="仿宋" w:hAnsi="仿宋" w:eastAsia="仿宋" w:cs="仿宋"/>
          <w:color w:val="FF0000"/>
          <w:kern w:val="2"/>
          <w:sz w:val="31"/>
          <w:szCs w:val="31"/>
          <w:highlight w:val="none"/>
          <w:lang w:val="en-US" w:eastAsia="zh-CN" w:bidi="ar"/>
        </w:rPr>
        <w:t>主要原因：按照支出计划，加快了支出进度，结余减少。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FF0000"/>
          <w:kern w:val="2"/>
          <w:sz w:val="31"/>
          <w:szCs w:val="31"/>
          <w:highlight w:val="none"/>
          <w:lang w:val="en-US" w:eastAsia="zh-CN" w:bidi="ar"/>
        </w:rPr>
        <w:t>。</w:t>
      </w:r>
    </w:p>
    <w:p>
      <w:pPr>
        <w:pStyle w:val="6"/>
        <w:widowControl/>
        <w:spacing w:before="450" w:beforeAutospacing="0" w:after="450" w:afterAutospacing="0" w:line="420" w:lineRule="atLeast"/>
        <w:ind w:firstLine="630"/>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（二）本部门2022年度总支出</w:t>
      </w:r>
      <w:r>
        <w:rPr>
          <w:rFonts w:hint="eastAsia" w:ascii="仿宋" w:hAnsi="仿宋" w:eastAsia="仿宋" w:cs="仿宋"/>
          <w:sz w:val="31"/>
          <w:szCs w:val="31"/>
        </w:rPr>
        <w:t>992.13</w:t>
      </w:r>
      <w:r>
        <w:rPr>
          <w:rFonts w:hint="eastAsia" w:ascii="仿宋" w:hAnsi="仿宋" w:eastAsia="仿宋" w:cs="仿宋"/>
          <w:color w:val="000000"/>
          <w:sz w:val="31"/>
          <w:szCs w:val="31"/>
          <w:shd w:val="clear" w:color="auto" w:fill="FFFFFF"/>
        </w:rPr>
        <w:t>万元（其中本年支出</w:t>
      </w:r>
      <w:r>
        <w:rPr>
          <w:rFonts w:hint="eastAsia" w:ascii="仿宋" w:hAnsi="仿宋" w:eastAsia="仿宋" w:cs="仿宋"/>
          <w:sz w:val="31"/>
          <w:szCs w:val="31"/>
        </w:rPr>
        <w:t>992.13</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rPr>
        <w:t>984.50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增加7.63</w:t>
      </w:r>
      <w:r>
        <w:rPr>
          <w:rFonts w:hint="eastAsia" w:ascii="仿宋" w:hAnsi="仿宋" w:eastAsia="仿宋" w:cs="仿宋"/>
          <w:sz w:val="31"/>
          <w:szCs w:val="31"/>
          <w:lang w:val="en-US" w:eastAsia="zh-CN"/>
        </w:rPr>
        <w:t>万元</w:t>
      </w:r>
      <w:r>
        <w:rPr>
          <w:rFonts w:hint="eastAsia" w:ascii="仿宋" w:hAnsi="仿宋" w:eastAsia="仿宋" w:cs="仿宋"/>
          <w:color w:val="000000"/>
          <w:sz w:val="31"/>
          <w:szCs w:val="31"/>
          <w:shd w:val="clear" w:color="auto" w:fill="FFFFFF"/>
        </w:rPr>
        <w:t>，</w:t>
      </w:r>
      <w:r>
        <w:rPr>
          <w:rFonts w:hint="eastAsia" w:ascii="仿宋" w:hAnsi="仿宋" w:eastAsia="仿宋" w:cs="仿宋"/>
          <w:sz w:val="31"/>
          <w:szCs w:val="31"/>
        </w:rPr>
        <w:t>增长0.78%</w:t>
      </w:r>
      <w:r>
        <w:rPr>
          <w:rFonts w:hint="eastAsia" w:ascii="仿宋" w:hAnsi="仿宋" w:eastAsia="仿宋" w:cs="仿宋"/>
          <w:color w:val="000000"/>
          <w:sz w:val="31"/>
          <w:szCs w:val="31"/>
          <w:shd w:val="clear" w:color="auto" w:fill="FFFFFF"/>
        </w:rPr>
        <w:t>。支出具体情况如下：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1</w:t>
      </w:r>
      <w:r>
        <w:rPr>
          <w:rFonts w:ascii="仿宋" w:hAnsi="仿宋" w:eastAsia="仿宋" w:cs="仿宋"/>
          <w:sz w:val="31"/>
          <w:u w:color="auto"/>
        </w:rPr>
        <w:t>.</w:t>
      </w:r>
      <w:r>
        <w:rPr>
          <w:rFonts w:hint="eastAsia" w:ascii="仿宋" w:hAnsi="仿宋" w:eastAsia="仿宋" w:cs="仿宋"/>
          <w:sz w:val="31"/>
          <w:szCs w:val="31"/>
          <w:lang w:bidi="ar"/>
        </w:rPr>
        <w:t>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620.84</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按照实际用途写明</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942.19</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减少321.35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下降34.11%</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主要原因是：该项资金对对纪念园5A景区基础设施整改投入减少。</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2</w:t>
      </w:r>
      <w:r>
        <w:rPr>
          <w:rFonts w:ascii="仿宋" w:hAnsi="仿宋" w:eastAsia="仿宋" w:cs="仿宋"/>
          <w:sz w:val="31"/>
          <w:u w:color="auto"/>
        </w:rPr>
        <w:t>.</w:t>
      </w:r>
      <w:r>
        <w:rPr>
          <w:rFonts w:hint="eastAsia" w:ascii="仿宋" w:hAnsi="仿宋" w:eastAsia="仿宋" w:cs="仿宋"/>
          <w:sz w:val="31"/>
          <w:szCs w:val="31"/>
          <w:lang w:bidi="ar"/>
        </w:rPr>
        <w:t>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30.85</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按照实际用途写明</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19.91</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增加10.94</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增长54.95%</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主要原因是：在职人员增加。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3</w:t>
      </w:r>
      <w:r>
        <w:rPr>
          <w:rFonts w:ascii="仿宋" w:hAnsi="仿宋" w:eastAsia="仿宋" w:cs="仿宋"/>
          <w:sz w:val="31"/>
          <w:u w:color="auto"/>
        </w:rPr>
        <w:t>.</w:t>
      </w:r>
      <w:r>
        <w:rPr>
          <w:rFonts w:hint="eastAsia" w:ascii="仿宋" w:hAnsi="仿宋" w:eastAsia="仿宋" w:cs="仿宋"/>
          <w:sz w:val="31"/>
          <w:szCs w:val="31"/>
          <w:lang w:bidi="ar"/>
        </w:rPr>
        <w:t>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7.22</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按照实际用途写明</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6.54</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增加0.68</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增长10.40%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主要原因是：在职人员增加。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4</w:t>
      </w:r>
      <w:r>
        <w:rPr>
          <w:rFonts w:ascii="仿宋" w:hAnsi="仿宋" w:eastAsia="仿宋" w:cs="仿宋"/>
          <w:sz w:val="31"/>
          <w:u w:color="auto"/>
        </w:rPr>
        <w:t>.</w:t>
      </w:r>
      <w:r>
        <w:rPr>
          <w:rFonts w:hint="eastAsia" w:ascii="仿宋" w:hAnsi="仿宋" w:eastAsia="仿宋" w:cs="仿宋"/>
          <w:sz w:val="31"/>
          <w:szCs w:val="31"/>
          <w:lang w:bidi="ar"/>
        </w:rPr>
        <w:t>城乡社区支出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316.69</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按照实际用途写明</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0.00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增加316.69</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5</w:t>
      </w:r>
      <w:r>
        <w:rPr>
          <w:rFonts w:ascii="仿宋" w:hAnsi="仿宋" w:eastAsia="仿宋" w:cs="仿宋"/>
          <w:sz w:val="31"/>
          <w:u w:color="auto"/>
        </w:rPr>
        <w:t>.</w:t>
      </w:r>
      <w:r>
        <w:rPr>
          <w:rFonts w:hint="eastAsia" w:ascii="仿宋" w:hAnsi="仿宋" w:eastAsia="仿宋" w:cs="仿宋"/>
          <w:sz w:val="31"/>
          <w:szCs w:val="31"/>
          <w:lang w:bidi="ar"/>
        </w:rPr>
        <w:t>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16.53</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FF0000"/>
          <w:sz w:val="31"/>
          <w:szCs w:val="31"/>
          <w:highlight w:val="none"/>
        </w:rPr>
        <w:t>主要用于</w:t>
      </w:r>
      <w:r>
        <w:rPr>
          <w:rFonts w:hint="eastAsia" w:ascii="仿宋" w:hAnsi="仿宋" w:eastAsia="仿宋" w:cs="仿宋"/>
          <w:color w:val="FF0000"/>
          <w:sz w:val="31"/>
          <w:szCs w:val="31"/>
          <w:highlight w:val="none"/>
          <w:lang w:eastAsia="zh-CN"/>
        </w:rPr>
        <w:t>：</w:t>
      </w:r>
      <w:r>
        <w:rPr>
          <w:rFonts w:hint="eastAsia" w:ascii="仿宋" w:hAnsi="仿宋" w:eastAsia="仿宋" w:cs="仿宋"/>
          <w:color w:val="FF0000"/>
          <w:sz w:val="31"/>
          <w:szCs w:val="31"/>
          <w:highlight w:val="none"/>
          <w:lang w:val="en-US" w:eastAsia="zh-CN"/>
        </w:rPr>
        <w:t>按照实际用途写明</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15.86</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增加0.67</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增长4.22%</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主要原因是：在职人员增加。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结余分配</w:t>
      </w:r>
      <w:r>
        <w:rPr>
          <w:rFonts w:ascii="仿宋" w:hAnsi="仿宋" w:eastAsia="仿宋" w:cs="仿宋"/>
          <w:color w:val="000000"/>
          <w:sz w:val="31"/>
          <w:u w:color="auto"/>
        </w:rPr>
        <w:t>0.00万元，为事业单位按规定提取的专用结余、缴纳所得税和转入非财政拨款结余等。较2021年决算0.00万元增加0.00 万元，增长0%，</w:t>
      </w:r>
      <w:r>
        <w:rPr>
          <w:rFonts w:hint="eastAsia" w:ascii="仿宋" w:hAnsi="仿宋" w:eastAsia="仿宋" w:cs="仿宋"/>
          <w:color w:val="FF0000"/>
          <w:kern w:val="2"/>
          <w:sz w:val="31"/>
          <w:szCs w:val="31"/>
          <w:highlight w:val="none"/>
          <w:lang w:val="en-US" w:eastAsia="zh-CN" w:bidi="ar"/>
        </w:rPr>
        <w:t>主要原因是：无数据。</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年末结转和结余</w:t>
      </w:r>
      <w:r>
        <w:rPr>
          <w:rFonts w:ascii="仿宋" w:hAnsi="仿宋" w:eastAsia="仿宋" w:cs="仿宋"/>
          <w:color w:val="000000"/>
          <w:sz w:val="31"/>
          <w:u w:color="auto"/>
        </w:rPr>
        <w:t>0.00万元，为本年度或以前年度预算安排、因客观条件发生变化无法按原计划实施，需要延迟到以后年度按有关规定继续使用的资金。较2021年决算0.00万元增加0.00 万元，增长0%，</w:t>
      </w:r>
      <w:r>
        <w:rPr>
          <w:rFonts w:hint="eastAsia" w:ascii="仿宋" w:hAnsi="仿宋" w:eastAsia="仿宋" w:cs="仿宋"/>
          <w:color w:val="FF0000"/>
          <w:kern w:val="2"/>
          <w:sz w:val="31"/>
          <w:szCs w:val="31"/>
          <w:highlight w:val="none"/>
          <w:lang w:val="en-US" w:eastAsia="zh-CN" w:bidi="ar"/>
        </w:rPr>
        <w:t>主要原因是：无数据。</w:t>
      </w:r>
    </w:p>
    <w:p>
      <w:pPr>
        <w:pStyle w:val="6"/>
        <w:widowControl/>
        <w:spacing w:before="450" w:beforeAutospacing="0" w:after="450" w:afterAutospacing="0" w:line="420" w:lineRule="atLeast"/>
        <w:ind w:firstLine="645"/>
        <w:rPr>
          <w:rFonts w:ascii="仿宋_GB2312" w:hAnsi="微软雅黑" w:eastAsia="仿宋_GB2312" w:cs="仿宋_GB2312"/>
          <w:color w:val="000000"/>
          <w:sz w:val="31"/>
          <w:szCs w:val="31"/>
          <w:u w:val="single"/>
          <w:shd w:val="clear" w:color="auto" w:fill="FFFFFF"/>
        </w:rPr>
      </w:pPr>
      <w:r>
        <w:rPr>
          <w:rFonts w:hint="eastAsia" w:ascii="黑体" w:hAnsi="宋体" w:eastAsia="黑体" w:cs="黑体"/>
          <w:color w:val="000000"/>
          <w:sz w:val="32"/>
          <w:szCs w:val="32"/>
          <w:shd w:val="clear" w:color="auto" w:fill="FFFFFF"/>
        </w:rPr>
        <w:t>二、2022年度一般公共预算财政拨款支出决算情况</w:t>
      </w:r>
    </w:p>
    <w:p>
      <w:pPr>
        <w:pStyle w:val="6"/>
        <w:widowControl/>
        <w:spacing w:before="450" w:beforeAutospacing="0" w:after="450" w:afterAutospacing="0" w:line="420" w:lineRule="atLeast"/>
        <w:ind w:left="309" w:leftChars="147" w:firstLine="620" w:firstLineChars="200"/>
        <w:rPr>
          <w:rFonts w:hint="eastAsia" w:ascii="仿宋" w:hAnsi="仿宋" w:eastAsia="仿宋" w:cs="仿宋"/>
          <w:color w:val="000000"/>
          <w:sz w:val="31"/>
          <w:szCs w:val="31"/>
        </w:rPr>
      </w:pPr>
      <w:r>
        <w:rPr>
          <w:rFonts w:hint="eastAsia" w:ascii="仿宋" w:hAnsi="仿宋" w:eastAsia="仿宋" w:cs="仿宋"/>
          <w:color w:val="000000"/>
          <w:sz w:val="31"/>
          <w:szCs w:val="31"/>
          <w:u w:val="single"/>
          <w:shd w:val="clear" w:color="auto" w:fill="FFFFFF"/>
        </w:rPr>
        <w:t>百色起义纪念园管理中心（本级）</w:t>
      </w:r>
      <w:r>
        <w:rPr>
          <w:rFonts w:hint="eastAsia" w:ascii="仿宋" w:hAnsi="仿宋" w:eastAsia="仿宋" w:cs="仿宋"/>
          <w:color w:val="000000"/>
          <w:sz w:val="31"/>
          <w:szCs w:val="31"/>
          <w:shd w:val="clear" w:color="auto" w:fill="FFFFFF"/>
        </w:rPr>
        <w:t>2022年度一般公共预算财政拨款支出</w:t>
      </w:r>
      <w:r>
        <w:rPr>
          <w:rFonts w:hint="eastAsia" w:ascii="仿宋" w:hAnsi="仿宋" w:eastAsia="仿宋" w:cs="仿宋"/>
          <w:sz w:val="31"/>
          <w:szCs w:val="31"/>
        </w:rPr>
        <w:t>675.44</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highlight w:val="none"/>
        </w:rPr>
        <w:t>984.50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减少309.06</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下降31.39%</w:t>
      </w:r>
      <w:r>
        <w:rPr>
          <w:rFonts w:hint="eastAsia" w:ascii="仿宋" w:hAnsi="仿宋" w:eastAsia="仿宋" w:cs="仿宋"/>
          <w:color w:val="000000"/>
          <w:sz w:val="31"/>
          <w:szCs w:val="31"/>
          <w:shd w:val="clear" w:color="auto" w:fill="FFFFFF"/>
        </w:rPr>
        <w:t> 。其中：基本支出</w:t>
      </w:r>
      <w:r>
        <w:rPr>
          <w:rFonts w:hint="eastAsia" w:ascii="仿宋" w:hAnsi="仿宋" w:eastAsia="仿宋" w:cs="仿宋"/>
          <w:sz w:val="31"/>
          <w:szCs w:val="31"/>
        </w:rPr>
        <w:t>236.72</w:t>
      </w:r>
      <w:r>
        <w:rPr>
          <w:rFonts w:hint="eastAsia" w:ascii="仿宋" w:hAnsi="仿宋" w:eastAsia="仿宋" w:cs="仿宋"/>
          <w:color w:val="000000"/>
          <w:sz w:val="31"/>
          <w:szCs w:val="31"/>
          <w:shd w:val="clear" w:color="auto" w:fill="FFFFFF"/>
        </w:rPr>
        <w:t>万元，项目支出</w:t>
      </w:r>
      <w:r>
        <w:rPr>
          <w:rFonts w:hint="eastAsia" w:ascii="仿宋" w:hAnsi="仿宋" w:eastAsia="仿宋" w:cs="仿宋"/>
          <w:sz w:val="31"/>
          <w:szCs w:val="31"/>
        </w:rPr>
        <w:t>438.72</w:t>
      </w:r>
      <w:r>
        <w:rPr>
          <w:rFonts w:hint="eastAsia" w:ascii="仿宋" w:hAnsi="仿宋" w:eastAsia="仿宋" w:cs="仿宋"/>
          <w:color w:val="000000"/>
          <w:sz w:val="31"/>
          <w:szCs w:val="31"/>
          <w:shd w:val="clear" w:color="auto" w:fill="FFFFFF"/>
        </w:rPr>
        <w:t xml:space="preserve"> 万元。</w:t>
      </w:r>
    </w:p>
    <w:p>
      <w:pPr>
        <w:pStyle w:val="6"/>
        <w:widowControl/>
        <w:spacing w:before="450" w:beforeAutospacing="0" w:after="450" w:afterAutospacing="0" w:line="420" w:lineRule="atLeast"/>
        <w:ind w:firstLine="630"/>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u w:val="single"/>
          <w:shd w:val="clear" w:color="auto" w:fill="FFFFFF"/>
        </w:rPr>
        <w:t>百色起义纪念园管理中心（本级）</w:t>
      </w:r>
      <w:r>
        <w:rPr>
          <w:rFonts w:hint="eastAsia" w:ascii="仿宋" w:hAnsi="仿宋" w:eastAsia="仿宋" w:cs="仿宋"/>
          <w:color w:val="000000"/>
          <w:sz w:val="31"/>
          <w:szCs w:val="31"/>
          <w:shd w:val="clear" w:color="auto" w:fill="FFFFFF"/>
        </w:rPr>
        <w:t>2022年度一般公共预算财政拨款支出年初预算为</w:t>
      </w:r>
      <w:r>
        <w:rPr>
          <w:rFonts w:hint="eastAsia" w:ascii="仿宋" w:hAnsi="仿宋" w:eastAsia="仿宋" w:cs="仿宋"/>
          <w:sz w:val="31"/>
          <w:szCs w:val="31"/>
        </w:rPr>
        <w:t>675.44</w:t>
      </w:r>
      <w:r>
        <w:rPr>
          <w:rFonts w:hint="eastAsia" w:ascii="仿宋" w:hAnsi="仿宋" w:eastAsia="仿宋" w:cs="仿宋"/>
          <w:color w:val="000000"/>
          <w:sz w:val="31"/>
          <w:szCs w:val="31"/>
          <w:shd w:val="clear" w:color="auto" w:fill="FFFFFF"/>
        </w:rPr>
        <w:t>万元，支出决算为</w:t>
      </w:r>
      <w:r>
        <w:rPr>
          <w:rFonts w:hint="eastAsia" w:ascii="仿宋" w:hAnsi="仿宋" w:eastAsia="仿宋" w:cs="仿宋"/>
          <w:sz w:val="31"/>
          <w:szCs w:val="31"/>
        </w:rPr>
        <w:t>675.44</w:t>
      </w:r>
      <w:r>
        <w:rPr>
          <w:rFonts w:hint="eastAsia" w:ascii="仿宋" w:hAnsi="仿宋" w:eastAsia="仿宋" w:cs="仿宋"/>
          <w:color w:val="000000"/>
          <w:sz w:val="31"/>
          <w:szCs w:val="31"/>
          <w:shd w:val="clear" w:color="auto" w:fill="FFFFFF"/>
        </w:rPr>
        <w:t>万元，完成年初预算的</w:t>
      </w:r>
      <w:r>
        <w:rPr>
          <w:rFonts w:hint="eastAsia" w:ascii="仿宋" w:hAnsi="仿宋" w:eastAsia="仿宋" w:cs="仿宋"/>
          <w:sz w:val="31"/>
          <w:szCs w:val="31"/>
        </w:rPr>
        <w:t>100.00%</w:t>
      </w:r>
      <w:r>
        <w:rPr>
          <w:rFonts w:hint="eastAsia" w:ascii="仿宋" w:hAnsi="仿宋" w:eastAsia="仿宋" w:cs="仿宋"/>
          <w:color w:val="000000"/>
          <w:sz w:val="31"/>
          <w:szCs w:val="31"/>
          <w:shd w:val="clear" w:color="auto" w:fill="FFFFFF"/>
        </w:rPr>
        <w:t>。</w:t>
      </w:r>
    </w:p>
    <w:p>
      <w:pPr>
        <w:jc w:val="left"/>
        <w:rPr>
          <w:rFonts w:hint="eastAsia" w:ascii="仿宋" w:hAnsi="仿宋" w:eastAsia="仿宋" w:cs="仿宋"/>
          <w:color w:val="000000"/>
          <w:kern w:val="0"/>
          <w:sz w:val="31"/>
          <w:szCs w:val="31"/>
          <w:shd w:val="clear" w:color="auto" w:fill="FFFFFF"/>
          <w:lang w:val="en-US" w:eastAsia="zh-CN" w:bidi="ar-SA"/>
        </w:rPr>
      </w:pPr>
      <w:r>
        <w:rPr>
          <w:rFonts w:ascii="仿宋" w:hAnsi="仿宋" w:eastAsia="仿宋" w:cs="仿宋"/>
          <w:color w:val="000000"/>
          <w:sz w:val="31"/>
          <w:u w:color="auto"/>
        </w:rPr>
        <w:t xml:space="preserve"> </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文化旅游体育与传媒支出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其他文化和旅游支出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9.90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kern w:val="2"/>
          <w:sz w:val="31"/>
          <w:szCs w:val="31"/>
          <w:highlight w:val="none"/>
          <w:lang w:val="en-US" w:eastAsia="zh-CN" w:bidi="ar"/>
        </w:rPr>
        <w:t>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文化旅游体育与传媒支出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博物馆</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220.00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3)文化旅游体育与传媒支出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文化旅游体育与传媒支出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其他文物支出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123.31</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390.94</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317.04%</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年中自治区下达专项资金，增加对纪念园5A景区基础设施整改投入。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事业单位离退休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2.45</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3.12</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127.35%</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在职人员增加。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机关事业单位基本养老保险缴费支出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22.82</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22.82</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6)社会保障和就业支出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社会保障和就业支出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机关事业单位职业年金缴费支出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0.00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4.90</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7)卫生健康支出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卫生健康支出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事业单位医疗</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7.32</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7.22</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98.63%</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人员调整，上缴数额有变动。</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8)住房保障支出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住房保障支出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住房公积金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17.12</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16.53</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96.55%</w:t>
      </w:r>
      <w:r>
        <w:rPr>
          <w:rFonts w:hint="eastAsia" w:ascii="仿宋" w:hAnsi="仿宋" w:eastAsia="仿宋" w:cs="仿宋"/>
          <w:color w:val="000000"/>
          <w:sz w:val="31"/>
          <w:szCs w:val="31"/>
          <w:shd w:val="clear" w:color="auto" w:fill="FFFFFF"/>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人员调整，上缴数额有变动。</w:t>
      </w:r>
    </w:p>
    <w:p>
      <w:pPr>
        <w:pStyle w:val="6"/>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三、2022年度一般公共预算财政拨款基本支出决算情况说明</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2022年度一般公共预算财政拨款基本支出</w:t>
      </w:r>
      <w:r>
        <w:rPr>
          <w:rFonts w:hint="eastAsia" w:ascii="仿宋" w:hAnsi="仿宋" w:eastAsia="仿宋" w:cs="仿宋"/>
          <w:sz w:val="31"/>
          <w:szCs w:val="31"/>
        </w:rPr>
        <w:t>236.72</w:t>
      </w:r>
      <w:r>
        <w:rPr>
          <w:rFonts w:hint="eastAsia" w:ascii="仿宋" w:hAnsi="仿宋" w:eastAsia="仿宋" w:cs="仿宋"/>
          <w:color w:val="000000"/>
          <w:sz w:val="31"/>
          <w:szCs w:val="31"/>
          <w:shd w:val="clear" w:color="auto" w:fill="FFFFFF"/>
        </w:rPr>
        <w:t>万元，其中：人员经费支出</w:t>
      </w:r>
      <w:r>
        <w:rPr>
          <w:rFonts w:hint="eastAsia" w:ascii="仿宋" w:hAnsi="仿宋" w:eastAsia="仿宋" w:cs="仿宋"/>
          <w:sz w:val="31"/>
          <w:szCs w:val="31"/>
        </w:rPr>
        <w:t>219.19</w:t>
      </w:r>
      <w:r>
        <w:rPr>
          <w:rFonts w:hint="eastAsia" w:ascii="仿宋" w:hAnsi="仿宋" w:eastAsia="仿宋" w:cs="仿宋"/>
          <w:color w:val="000000"/>
          <w:sz w:val="31"/>
          <w:szCs w:val="31"/>
          <w:shd w:val="clear" w:color="auto" w:fill="FFFFFF"/>
        </w:rPr>
        <w:t>万元，公用经费支出</w:t>
      </w:r>
      <w:r>
        <w:rPr>
          <w:rFonts w:hint="eastAsia" w:ascii="仿宋" w:hAnsi="仿宋" w:eastAsia="仿宋" w:cs="仿宋"/>
          <w:sz w:val="31"/>
          <w:szCs w:val="31"/>
        </w:rPr>
        <w:t>17.52</w:t>
      </w:r>
      <w:r>
        <w:rPr>
          <w:rFonts w:hint="eastAsia" w:ascii="仿宋" w:hAnsi="仿宋" w:eastAsia="仿宋" w:cs="仿宋"/>
          <w:color w:val="000000"/>
          <w:sz w:val="31"/>
          <w:szCs w:val="31"/>
          <w:shd w:val="clear" w:color="auto" w:fill="FFFFFF"/>
        </w:rPr>
        <w:t>万元，支出具体情况如下：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1)工资福利支出206.26万元，完成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140.63%，</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在职人员增加。</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30101基本工资58.59万元，30102津贴补贴7.09万元，30103奖金52.60万元，30107绩效工资35.91万元，30108机关事业单位基本养老保险缴费22.82万元，30109职业年金缴费4.90万元，30110职工基本医疗保险缴费7.22万元，30112其他社会保障缴费0.59万元，30113住房公积金16.53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2)商品和服务支出17.52万元，完成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93.94%，</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年中调整压缩预算。</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30201办公费3.40万元，30202印刷费0.30万元，30205水费0.13万元，30206电费3.60万元，30207邮电费0.96万元，30211差旅费2.27万元，30229福利费0.89万元，30231公务用车运行维护费1.53万元，30299其他商品和服务支出4.45万元。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3)对个人和家庭的补助12.93万元，完成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538.75%，</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原因是：退休人员去世，增加抚恤鑫</w:t>
      </w:r>
      <w:r>
        <w:rPr>
          <w:rFonts w:hint="eastAsia" w:ascii="仿宋" w:hAnsi="仿宋" w:eastAsia="仿宋" w:cs="仿宋"/>
          <w:color w:val="FF0000"/>
          <w:kern w:val="2"/>
          <w:sz w:val="31"/>
          <w:szCs w:val="31"/>
          <w:highlight w:val="none"/>
          <w:lang w:val="en-US" w:eastAsia="zh-CN" w:bidi="ar"/>
        </w:rPr>
        <w:t>。</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30302退休费3.08万元，30304抚恤金9.85万元。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4)债务利息及费用支出0.00万元，完成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财政未下达资金。</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5)资本性支出0.00万元，完成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财政未下达资金。</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6)其他支出0.00万元，完成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财政未下达资金。</w:t>
      </w:r>
    </w:p>
    <w:p>
      <w:pPr>
        <w:pStyle w:val="6"/>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四、2022年度政府性基金支出决算情况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i w:val="0"/>
          <w:iCs w:val="0"/>
          <w:color w:val="000000"/>
          <w:sz w:val="31"/>
          <w:szCs w:val="31"/>
          <w:u w:val="single"/>
          <w:shd w:val="clear" w:color="auto" w:fill="FFFFFF"/>
        </w:rPr>
        <w:t>百色起义纪念园管理中心（本级）</w:t>
      </w:r>
      <w:r>
        <w:rPr>
          <w:rFonts w:hint="eastAsia" w:ascii="仿宋" w:hAnsi="仿宋" w:eastAsia="仿宋" w:cs="仿宋"/>
          <w:i w:val="0"/>
          <w:iCs w:val="0"/>
          <w:kern w:val="0"/>
          <w:sz w:val="31"/>
          <w:szCs w:val="31"/>
        </w:rPr>
        <w:t>2022年度政府性基</w:t>
      </w:r>
      <w:r>
        <w:rPr>
          <w:rFonts w:hint="eastAsia" w:ascii="仿宋" w:hAnsi="仿宋" w:eastAsia="仿宋" w:cs="仿宋"/>
          <w:kern w:val="0"/>
          <w:sz w:val="31"/>
          <w:szCs w:val="31"/>
        </w:rPr>
        <w:t>金支出</w:t>
      </w:r>
      <w:r>
        <w:rPr>
          <w:rFonts w:ascii="仿宋" w:hAnsi="仿宋" w:eastAsia="仿宋" w:cs="仿宋"/>
          <w:sz w:val="31"/>
          <w:u w:color="auto"/>
        </w:rPr>
        <w:t>316.69万元，较2021年度决算数增加316.69万元，增长100%。其中：基本支出0.00万元，项目支出316.69万元。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百色起义纪念园管理中心（本级）</w:t>
      </w:r>
      <w:r>
        <w:rPr>
          <w:rFonts w:hint="eastAsia" w:ascii="仿宋" w:hAnsi="仿宋" w:eastAsia="仿宋" w:cs="仿宋"/>
          <w:kern w:val="0"/>
          <w:sz w:val="31"/>
          <w:szCs w:val="31"/>
        </w:rPr>
        <w:t>2022 年度政府性基金支出年初预算为</w:t>
      </w:r>
      <w:r>
        <w:rPr>
          <w:rFonts w:ascii="仿宋" w:hAnsi="仿宋" w:eastAsia="仿宋" w:cs="仿宋"/>
          <w:sz w:val="31"/>
          <w:u w:color="auto"/>
        </w:rPr>
        <w:t>316.69万元，支出决算为316.69万元，完成年初预算的100.00%。</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lang w:val="en-US" w:eastAsia="zh-CN" w:bidi="ar-SA"/>
        </w:rPr>
        <w:t>（</w:t>
      </w:r>
      <w:r>
        <w:rPr>
          <w:rFonts w:hint="eastAsia" w:ascii="仿宋" w:hAnsi="仿宋" w:eastAsia="仿宋" w:cs="仿宋"/>
          <w:color w:val="000000"/>
          <w:sz w:val="31"/>
          <w:szCs w:val="31"/>
          <w:shd w:val="clear" w:color="auto" w:fill="FFFFFF"/>
        </w:rPr>
        <w:t>1</w:t>
      </w:r>
      <w:r>
        <w:rPr>
          <w:rFonts w:hint="eastAsia" w:ascii="仿宋" w:hAnsi="仿宋" w:eastAsia="仿宋" w:cs="仿宋"/>
          <w:kern w:val="0"/>
          <w:sz w:val="31"/>
          <w:szCs w:val="31"/>
          <w:lang w:val="en-US" w:eastAsia="zh-CN" w:bidi="ar-SA"/>
        </w:rPr>
        <w:t>）</w:t>
      </w:r>
      <w:r>
        <w:rPr>
          <w:rFonts w:hint="eastAsia" w:ascii="仿宋" w:hAnsi="仿宋" w:eastAsia="仿宋" w:cs="仿宋"/>
          <w:kern w:val="0"/>
          <w:sz w:val="31"/>
          <w:szCs w:val="31"/>
          <w:lang w:val="en-US" w:eastAsia="zh-CN"/>
        </w:rPr>
        <w:t>城乡社区支出</w:t>
      </w:r>
      <w:r>
        <w:rPr>
          <w:rFonts w:hint="eastAsia" w:ascii="仿宋" w:hAnsi="仿宋" w:eastAsia="仿宋" w:cs="仿宋"/>
          <w:kern w:val="0"/>
          <w:sz w:val="31"/>
          <w:szCs w:val="31"/>
        </w:rPr>
        <w:t>（类）年初预算为</w:t>
      </w:r>
      <w:r>
        <w:rPr>
          <w:rFonts w:hint="eastAsia" w:ascii="仿宋" w:hAnsi="仿宋" w:eastAsia="仿宋" w:cs="仿宋"/>
          <w:kern w:val="0"/>
          <w:sz w:val="31"/>
          <w:szCs w:val="31"/>
          <w:lang w:val="en-US" w:eastAsia="zh-CN"/>
        </w:rPr>
        <w:t>0</w:t>
      </w:r>
      <w:r>
        <w:rPr>
          <w:rFonts w:hint="eastAsia" w:ascii="仿宋" w:hAnsi="仿宋" w:eastAsia="仿宋" w:cs="仿宋"/>
          <w:kern w:val="0"/>
          <w:sz w:val="31"/>
          <w:szCs w:val="31"/>
        </w:rPr>
        <w:t>万元，支出决算为</w:t>
      </w:r>
      <w:r>
        <w:rPr>
          <w:rFonts w:hint="eastAsia" w:ascii="仿宋" w:hAnsi="仿宋" w:eastAsia="仿宋" w:cs="仿宋"/>
          <w:kern w:val="0"/>
          <w:sz w:val="31"/>
          <w:szCs w:val="31"/>
          <w:lang w:val="en-US" w:eastAsia="zh-CN"/>
        </w:rPr>
        <w:t>950.06</w:t>
      </w:r>
      <w:r>
        <w:rPr>
          <w:rFonts w:hint="eastAsia" w:ascii="仿宋" w:hAnsi="仿宋" w:eastAsia="仿宋" w:cs="仿宋"/>
          <w:kern w:val="0"/>
          <w:sz w:val="31"/>
          <w:szCs w:val="31"/>
        </w:rPr>
        <w:t xml:space="preserve">   万元，完成年初预算的</w:t>
      </w:r>
      <w:r>
        <w:rPr>
          <w:rFonts w:hint="eastAsia" w:ascii="仿宋" w:hAnsi="仿宋" w:eastAsia="仿宋" w:cs="仿宋"/>
          <w:kern w:val="0"/>
          <w:sz w:val="31"/>
          <w:szCs w:val="31"/>
          <w:lang w:val="en-US" w:eastAsia="zh-CN"/>
        </w:rPr>
        <w:t>100%</w:t>
      </w:r>
      <w:r>
        <w:rPr>
          <w:rFonts w:hint="eastAsia" w:ascii="仿宋" w:hAnsi="仿宋" w:eastAsia="仿宋" w:cs="仿宋"/>
          <w:kern w:val="0"/>
          <w:sz w:val="31"/>
          <w:szCs w:val="31"/>
        </w:rPr>
        <w:t>。</w:t>
      </w:r>
      <w:r>
        <w:rPr>
          <w:rFonts w:hint="eastAsia" w:ascii="仿宋" w:hAnsi="仿宋" w:eastAsia="仿宋" w:cs="仿宋"/>
          <w:color w:val="FF0000"/>
          <w:sz w:val="31"/>
          <w:szCs w:val="31"/>
          <w:shd w:val="clear" w:color="auto" w:fill="FFFFFF"/>
          <w:lang w:val="en-US" w:eastAsia="zh-CN"/>
        </w:rPr>
        <w:t>形成</w:t>
      </w:r>
      <w:r>
        <w:rPr>
          <w:rFonts w:hint="eastAsia" w:ascii="仿宋" w:hAnsi="仿宋" w:eastAsia="仿宋" w:cs="仿宋"/>
          <w:color w:val="FF0000"/>
          <w:sz w:val="31"/>
          <w:szCs w:val="31"/>
          <w:highlight w:val="none"/>
        </w:rPr>
        <w:t>预决算差异</w:t>
      </w:r>
      <w:r>
        <w:rPr>
          <w:rFonts w:hint="eastAsia" w:ascii="仿宋" w:hAnsi="仿宋" w:eastAsia="仿宋" w:cs="仿宋"/>
          <w:color w:val="FF0000"/>
          <w:sz w:val="31"/>
          <w:szCs w:val="31"/>
          <w:highlight w:val="none"/>
          <w:lang w:val="en-US" w:eastAsia="zh-CN"/>
        </w:rPr>
        <w:t>原因是：</w:t>
      </w:r>
      <w:r>
        <w:rPr>
          <w:rFonts w:hint="eastAsia" w:ascii="仿宋" w:hAnsi="仿宋" w:eastAsia="仿宋" w:cs="仿宋"/>
          <w:color w:val="FF0000"/>
          <w:kern w:val="2"/>
          <w:sz w:val="31"/>
          <w:szCs w:val="31"/>
          <w:highlight w:val="none"/>
          <w:lang w:val="en-US" w:eastAsia="zh-CN" w:bidi="ar"/>
        </w:rPr>
        <w:t>无</w:t>
      </w:r>
      <w:r>
        <w:rPr>
          <w:rFonts w:hint="eastAsia" w:ascii="仿宋" w:hAnsi="仿宋" w:eastAsia="仿宋" w:cs="仿宋"/>
          <w:color w:val="FF0000"/>
          <w:kern w:val="0"/>
          <w:sz w:val="31"/>
          <w:szCs w:val="31"/>
          <w:lang w:val="en-US" w:eastAsia="zh-CN" w:bidi="ar"/>
        </w:rPr>
        <w:t>。</w:t>
      </w:r>
      <w:r>
        <w:rPr>
          <w:rFonts w:hint="default" w:ascii="仿宋_GB2312" w:hAnsi="Times New Roman" w:eastAsia="仿宋_GB2312" w:cs="仿宋_GB2312"/>
          <w:color w:val="FF0000"/>
          <w:kern w:val="0"/>
          <w:sz w:val="11"/>
          <w:szCs w:val="11"/>
          <w:lang w:val="en-US" w:eastAsia="zh-CN" w:bidi="ar"/>
        </w:rPr>
        <w:t xml:space="preserve"> </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五、2022年度国有资本经营预算支出决算情况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百色起义纪念园管理中心（本级）</w:t>
      </w:r>
      <w:r>
        <w:rPr>
          <w:rFonts w:hint="eastAsia" w:ascii="仿宋" w:hAnsi="仿宋" w:eastAsia="仿宋" w:cs="仿宋"/>
          <w:kern w:val="0"/>
          <w:sz w:val="31"/>
          <w:szCs w:val="31"/>
        </w:rPr>
        <w:t>2022年度国有资本经营预算支出</w:t>
      </w:r>
      <w:r>
        <w:rPr>
          <w:rFonts w:hint="eastAsia" w:ascii="仿宋" w:hAnsi="仿宋" w:eastAsia="仿宋" w:cs="仿宋"/>
          <w:sz w:val="31"/>
          <w:szCs w:val="31"/>
        </w:rPr>
        <w:t>0.00</w:t>
      </w:r>
      <w:r>
        <w:rPr>
          <w:rFonts w:hint="eastAsia" w:ascii="仿宋" w:hAnsi="仿宋" w:eastAsia="仿宋" w:cs="仿宋"/>
          <w:kern w:val="0"/>
          <w:sz w:val="31"/>
          <w:szCs w:val="31"/>
        </w:rPr>
        <w:t>万元。其中：基本支出</w:t>
      </w:r>
      <w:r>
        <w:rPr>
          <w:rFonts w:hint="eastAsia" w:ascii="仿宋" w:hAnsi="仿宋" w:eastAsia="仿宋" w:cs="仿宋"/>
          <w:sz w:val="31"/>
          <w:szCs w:val="31"/>
        </w:rPr>
        <w:t>0.00</w:t>
      </w:r>
      <w:r>
        <w:rPr>
          <w:rFonts w:hint="eastAsia" w:ascii="仿宋" w:hAnsi="仿宋" w:eastAsia="仿宋" w:cs="仿宋"/>
          <w:kern w:val="0"/>
          <w:sz w:val="31"/>
          <w:szCs w:val="31"/>
        </w:rPr>
        <w:t>万元，项目支出</w:t>
      </w:r>
      <w:r>
        <w:rPr>
          <w:rFonts w:hint="eastAsia" w:ascii="仿宋" w:hAnsi="仿宋" w:eastAsia="仿宋" w:cs="仿宋"/>
          <w:sz w:val="31"/>
          <w:szCs w:val="31"/>
        </w:rPr>
        <w:t>0.00</w:t>
      </w:r>
      <w:r>
        <w:rPr>
          <w:rFonts w:hint="eastAsia" w:ascii="仿宋" w:hAnsi="仿宋" w:eastAsia="仿宋" w:cs="仿宋"/>
          <w:kern w:val="0"/>
          <w:sz w:val="31"/>
          <w:szCs w:val="31"/>
        </w:rPr>
        <w:t>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百色起义纪念园管理中心（本级）</w:t>
      </w:r>
      <w:r>
        <w:rPr>
          <w:rFonts w:hint="eastAsia" w:ascii="仿宋" w:hAnsi="仿宋" w:eastAsia="仿宋" w:cs="仿宋"/>
          <w:kern w:val="0"/>
          <w:sz w:val="31"/>
          <w:szCs w:val="31"/>
        </w:rPr>
        <w:t>2022 年度国有资本经营预算支出年初预算为</w:t>
      </w:r>
      <w:r>
        <w:rPr>
          <w:rFonts w:ascii="仿宋" w:hAnsi="仿宋" w:eastAsia="仿宋" w:cs="仿宋"/>
          <w:sz w:val="31"/>
          <w:u w:color="auto"/>
        </w:rPr>
        <w:t>0.00万元，支出决算为0.00万元，完成年初预算的0%</w:t>
      </w:r>
      <w:r>
        <w:rPr>
          <w:rFonts w:hint="eastAsia" w:ascii="仿宋" w:hAnsi="仿宋" w:eastAsia="仿宋" w:cs="仿宋"/>
          <w:kern w:val="0"/>
          <w:sz w:val="31"/>
          <w:szCs w:val="31"/>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22" w:firstLineChars="200"/>
        <w:jc w:val="left"/>
        <w:rPr>
          <w:rFonts w:hint="eastAsia" w:ascii="仿宋" w:hAnsi="仿宋" w:eastAsia="仿宋" w:cs="仿宋"/>
          <w:color w:val="FF0000"/>
          <w:kern w:val="0"/>
          <w:sz w:val="31"/>
          <w:szCs w:val="31"/>
        </w:rPr>
      </w:pPr>
      <w:r>
        <w:rPr>
          <w:rFonts w:hint="eastAsia" w:ascii="仿宋" w:hAnsi="仿宋" w:eastAsia="仿宋" w:cs="仿宋"/>
          <w:b/>
          <w:bCs/>
          <w:color w:val="FF0000"/>
          <w:kern w:val="0"/>
          <w:sz w:val="31"/>
          <w:szCs w:val="31"/>
          <w:lang w:val="en-US" w:eastAsia="zh-CN" w:bidi="ar"/>
        </w:rPr>
        <w:t>百色起义纪念园管理中心2022年度没有没有</w:t>
      </w:r>
      <w:r>
        <w:rPr>
          <w:rFonts w:hint="eastAsia" w:ascii="仿宋" w:hAnsi="仿宋" w:eastAsia="仿宋" w:cs="仿宋"/>
          <w:b/>
          <w:bCs w:val="0"/>
          <w:color w:val="FF0000"/>
          <w:kern w:val="0"/>
          <w:sz w:val="31"/>
          <w:szCs w:val="31"/>
          <w:lang w:val="en-US" w:eastAsia="zh-CN" w:bidi="ar"/>
        </w:rPr>
        <w:t>国有资本经营预算财政拨款</w:t>
      </w:r>
      <w:r>
        <w:rPr>
          <w:rFonts w:hint="eastAsia" w:ascii="仿宋" w:hAnsi="仿宋" w:eastAsia="仿宋" w:cs="仿宋"/>
          <w:b/>
          <w:bCs/>
          <w:color w:val="FF0000"/>
          <w:kern w:val="0"/>
          <w:sz w:val="31"/>
          <w:szCs w:val="31"/>
          <w:lang w:val="en-US" w:eastAsia="zh-CN" w:bidi="ar"/>
        </w:rPr>
        <w:t>收入，也没有</w:t>
      </w:r>
      <w:r>
        <w:rPr>
          <w:rFonts w:hint="eastAsia" w:ascii="仿宋" w:hAnsi="仿宋" w:eastAsia="仿宋" w:cs="仿宋"/>
          <w:b/>
          <w:bCs w:val="0"/>
          <w:color w:val="FF0000"/>
          <w:kern w:val="0"/>
          <w:sz w:val="31"/>
          <w:szCs w:val="31"/>
          <w:lang w:val="en-US" w:eastAsia="zh-CN" w:bidi="ar"/>
        </w:rPr>
        <w:t>国有资本经营预算财政拨款安排</w:t>
      </w:r>
      <w:r>
        <w:rPr>
          <w:rFonts w:hint="eastAsia" w:ascii="仿宋" w:hAnsi="仿宋" w:eastAsia="仿宋" w:cs="仿宋"/>
          <w:b/>
          <w:bCs/>
          <w:color w:val="FF0000"/>
          <w:kern w:val="0"/>
          <w:sz w:val="31"/>
          <w:szCs w:val="31"/>
          <w:lang w:val="en-US" w:eastAsia="zh-CN" w:bidi="ar"/>
        </w:rPr>
        <w:t>的支出，故无数据情况说明</w:t>
      </w:r>
      <w:r>
        <w:rPr>
          <w:rFonts w:hint="eastAsia" w:ascii="仿宋" w:hAnsi="仿宋" w:eastAsia="仿宋" w:cs="仿宋"/>
          <w:color w:val="FF0000"/>
          <w:kern w:val="0"/>
          <w:sz w:val="31"/>
          <w:szCs w:val="31"/>
          <w:lang w:val="en-US" w:eastAsia="zh-CN" w:bidi="ar"/>
        </w:rPr>
        <w:t xml:space="preserve">。 </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2022年度</w:t>
      </w:r>
      <w:r>
        <w:rPr>
          <w:rFonts w:hint="eastAsia" w:ascii="仿宋" w:hAnsi="仿宋" w:eastAsia="仿宋" w:cs="仿宋"/>
          <w:sz w:val="31"/>
          <w:szCs w:val="31"/>
        </w:rPr>
        <w:t>一般</w:t>
      </w:r>
      <w:r>
        <w:rPr>
          <w:rFonts w:hint="eastAsia" w:ascii="仿宋" w:hAnsi="仿宋" w:eastAsia="仿宋" w:cs="仿宋"/>
          <w:kern w:val="0"/>
          <w:sz w:val="31"/>
          <w:szCs w:val="31"/>
        </w:rPr>
        <w:t>公共预算财政拨款安排的“三公”经费支出</w:t>
      </w:r>
      <w:r>
        <w:rPr>
          <w:rFonts w:ascii="仿宋" w:hAnsi="仿宋" w:eastAsia="仿宋" w:cs="仿宋"/>
          <w:sz w:val="31"/>
          <w:u w:color="auto"/>
        </w:rPr>
        <w:t>1.53万元，完成年初预算的79.69%</w:t>
      </w:r>
      <w:r>
        <w:rPr>
          <w:rFonts w:hint="eastAsia" w:ascii="仿宋" w:hAnsi="仿宋" w:eastAsia="仿宋" w:cs="仿宋"/>
          <w:kern w:val="0"/>
          <w:sz w:val="31"/>
          <w:szCs w:val="31"/>
        </w:rPr>
        <w:t>，比上年</w:t>
      </w:r>
      <w:r>
        <w:rPr>
          <w:rFonts w:ascii="仿宋" w:hAnsi="仿宋" w:eastAsia="仿宋" w:cs="仿宋"/>
          <w:sz w:val="31"/>
          <w:u w:color="auto"/>
        </w:rPr>
        <w:t>减少0.27万元，</w:t>
      </w:r>
      <w:r>
        <w:rPr>
          <w:rFonts w:hint="eastAsia" w:ascii="仿宋" w:hAnsi="仿宋" w:eastAsia="仿宋" w:cs="仿宋"/>
          <w:color w:val="FF0000"/>
          <w:kern w:val="2"/>
          <w:sz w:val="31"/>
          <w:szCs w:val="31"/>
          <w:highlight w:val="none"/>
          <w:lang w:val="en-US" w:eastAsia="zh-CN" w:bidi="ar"/>
        </w:rPr>
        <w:t>原因是：请根实际情况自行补充原因。</w:t>
      </w:r>
      <w:r>
        <w:rPr>
          <w:rFonts w:hint="eastAsia" w:ascii="仿宋" w:hAnsi="仿宋" w:eastAsia="仿宋" w:cs="仿宋"/>
          <w:kern w:val="0"/>
          <w:sz w:val="31"/>
          <w:szCs w:val="31"/>
        </w:rPr>
        <w:t>其中：因公出国（境）费支出决算</w:t>
      </w:r>
      <w:r>
        <w:rPr>
          <w:rFonts w:ascii="仿宋" w:hAnsi="仿宋" w:eastAsia="仿宋" w:cs="仿宋"/>
          <w:sz w:val="31"/>
          <w:u w:color="auto"/>
        </w:rPr>
        <w:t>0.00万元，公务用车购置及运行费支出决算1.53万元，公务接待费支出决算0.00万元。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具体情况如下：</w:t>
      </w:r>
    </w:p>
    <w:p>
      <w:pPr>
        <w:autoSpaceDE w:val="0"/>
        <w:autoSpaceDN w:val="0"/>
        <w:adjustRightInd w:val="0"/>
        <w:spacing w:line="560" w:lineRule="exact"/>
        <w:ind w:firstLine="620" w:firstLineChars="200"/>
        <w:jc w:val="left"/>
        <w:rPr>
          <w:rFonts w:hint="eastAsia" w:ascii="仿宋" w:hAnsi="仿宋" w:eastAsia="仿宋" w:cs="仿宋"/>
          <w:bCs/>
          <w:color w:val="000000"/>
          <w:sz w:val="31"/>
          <w:szCs w:val="31"/>
        </w:rPr>
      </w:pPr>
      <w:r>
        <w:rPr>
          <w:rFonts w:hint="eastAsia" w:ascii="仿宋" w:hAnsi="仿宋" w:eastAsia="仿宋" w:cs="仿宋"/>
          <w:kern w:val="0"/>
          <w:sz w:val="31"/>
          <w:szCs w:val="31"/>
        </w:rPr>
        <w:t>（一）因公出国（境）费支出</w:t>
      </w:r>
      <w:r>
        <w:rPr>
          <w:rFonts w:ascii="仿宋" w:hAnsi="仿宋" w:eastAsia="仿宋" w:cs="仿宋"/>
          <w:sz w:val="31"/>
          <w:u w:color="auto"/>
        </w:rPr>
        <w:t>0.00万元，完成年初预算的0%</w:t>
      </w:r>
      <w:r>
        <w:rPr>
          <w:rFonts w:hint="eastAsia" w:ascii="仿宋" w:hAnsi="仿宋" w:eastAsia="仿宋" w:cs="仿宋"/>
          <w:kern w:val="0"/>
          <w:sz w:val="31"/>
          <w:szCs w:val="31"/>
        </w:rPr>
        <w:t>，比上年</w:t>
      </w:r>
      <w:r>
        <w:rPr>
          <w:rFonts w:ascii="仿宋" w:hAnsi="仿宋" w:eastAsia="仿宋" w:cs="仿宋"/>
          <w:sz w:val="31"/>
          <w:u w:color="auto"/>
        </w:rPr>
        <w:t>增加0.00万元，</w:t>
      </w:r>
      <w:r>
        <w:rPr>
          <w:rFonts w:hint="eastAsia" w:ascii="仿宋" w:hAnsi="仿宋" w:eastAsia="仿宋" w:cs="仿宋"/>
          <w:color w:val="FF0000"/>
          <w:kern w:val="2"/>
          <w:sz w:val="31"/>
          <w:szCs w:val="31"/>
          <w:highlight w:val="none"/>
          <w:lang w:val="en-US" w:eastAsia="zh-CN" w:bidi="ar"/>
        </w:rPr>
        <w:t>原因是：（请根实际情况自行补充原因）。</w:t>
      </w:r>
      <w:r>
        <w:rPr>
          <w:rFonts w:hint="eastAsia" w:ascii="仿宋" w:hAnsi="仿宋" w:eastAsia="仿宋" w:cs="仿宋"/>
          <w:color w:val="FF0000"/>
          <w:kern w:val="0"/>
          <w:sz w:val="31"/>
          <w:szCs w:val="31"/>
        </w:rPr>
        <w:t>全年使用财政拨款安排</w:t>
      </w:r>
      <w:r>
        <w:rPr>
          <w:rFonts w:hint="eastAsia" w:ascii="仿宋" w:hAnsi="仿宋" w:eastAsia="仿宋" w:cs="仿宋"/>
          <w:bCs/>
          <w:color w:val="FF0000"/>
          <w:sz w:val="31"/>
          <w:szCs w:val="31"/>
          <w:u w:val="single"/>
          <w:lang w:val="en-US" w:eastAsia="zh-CN"/>
        </w:rPr>
        <w:t>0</w:t>
      </w:r>
      <w:r>
        <w:rPr>
          <w:rFonts w:hint="eastAsia" w:ascii="仿宋" w:hAnsi="仿宋" w:eastAsia="仿宋" w:cs="仿宋"/>
          <w:bCs/>
          <w:color w:val="FF0000"/>
          <w:sz w:val="31"/>
          <w:szCs w:val="31"/>
        </w:rPr>
        <w:t>（局、办、镇）机关、</w:t>
      </w:r>
      <w:r>
        <w:rPr>
          <w:rFonts w:hint="eastAsia" w:ascii="仿宋" w:hAnsi="仿宋" w:eastAsia="仿宋" w:cs="仿宋"/>
          <w:bCs/>
          <w:color w:val="FF0000"/>
          <w:sz w:val="31"/>
          <w:szCs w:val="31"/>
          <w:u w:val="single"/>
          <w:lang w:val="en-US" w:eastAsia="zh-CN"/>
        </w:rPr>
        <w:t>0</w:t>
      </w:r>
      <w:r>
        <w:rPr>
          <w:rFonts w:hint="eastAsia" w:ascii="仿宋" w:hAnsi="仿宋" w:eastAsia="仿宋" w:cs="仿宋"/>
          <w:bCs/>
          <w:color w:val="FF0000"/>
          <w:sz w:val="31"/>
          <w:szCs w:val="31"/>
          <w:u w:val="single"/>
        </w:rPr>
        <w:t xml:space="preserve"> </w:t>
      </w:r>
      <w:r>
        <w:rPr>
          <w:rFonts w:hint="eastAsia" w:ascii="仿宋" w:hAnsi="仿宋" w:eastAsia="仿宋" w:cs="仿宋"/>
          <w:bCs/>
          <w:color w:val="FF0000"/>
          <w:sz w:val="31"/>
          <w:szCs w:val="31"/>
        </w:rPr>
        <w:t>个所属单位出国团组  个，参加其他单位组织的出国团组</w:t>
      </w:r>
      <w:r>
        <w:rPr>
          <w:rFonts w:hint="eastAsia" w:ascii="仿宋" w:hAnsi="仿宋" w:eastAsia="仿宋" w:cs="仿宋"/>
          <w:bCs/>
          <w:color w:val="FF0000"/>
          <w:sz w:val="31"/>
          <w:szCs w:val="31"/>
          <w:u w:val="single"/>
        </w:rPr>
        <w:t xml:space="preserve"> </w:t>
      </w:r>
      <w:r>
        <w:rPr>
          <w:rFonts w:hint="eastAsia" w:ascii="仿宋" w:hAnsi="仿宋" w:eastAsia="仿宋" w:cs="仿宋"/>
          <w:bCs/>
          <w:color w:val="FF0000"/>
          <w:sz w:val="31"/>
          <w:szCs w:val="31"/>
          <w:u w:val="single"/>
          <w:lang w:val="en-US" w:eastAsia="zh-CN"/>
        </w:rPr>
        <w:t>0</w:t>
      </w:r>
      <w:r>
        <w:rPr>
          <w:rFonts w:hint="eastAsia" w:ascii="仿宋" w:hAnsi="仿宋" w:eastAsia="仿宋" w:cs="仿宋"/>
          <w:bCs/>
          <w:color w:val="FF0000"/>
          <w:sz w:val="31"/>
          <w:szCs w:val="31"/>
          <w:u w:val="single"/>
        </w:rPr>
        <w:t xml:space="preserve"> </w:t>
      </w:r>
      <w:r>
        <w:rPr>
          <w:rFonts w:hint="eastAsia" w:ascii="仿宋" w:hAnsi="仿宋" w:eastAsia="仿宋" w:cs="仿宋"/>
          <w:bCs/>
          <w:color w:val="FF0000"/>
          <w:sz w:val="31"/>
          <w:szCs w:val="31"/>
        </w:rPr>
        <w:t>个，</w:t>
      </w:r>
      <w:r>
        <w:rPr>
          <w:rFonts w:hint="eastAsia" w:ascii="仿宋" w:hAnsi="仿宋" w:eastAsia="仿宋" w:cs="仿宋"/>
          <w:bCs/>
          <w:color w:val="000000"/>
          <w:sz w:val="31"/>
          <w:szCs w:val="31"/>
        </w:rPr>
        <w:t>全年因公出国（境）团组共计</w:t>
      </w:r>
      <w:r>
        <w:rPr>
          <w:rFonts w:hint="eastAsia" w:ascii="仿宋" w:hAnsi="仿宋" w:eastAsia="仿宋" w:cs="仿宋"/>
          <w:bCs/>
          <w:color w:val="000000"/>
          <w:sz w:val="31"/>
          <w:szCs w:val="31"/>
          <w:u w:val="single"/>
        </w:rPr>
        <w:t>0</w:t>
      </w:r>
      <w:r>
        <w:rPr>
          <w:rFonts w:hint="eastAsia" w:ascii="仿宋" w:hAnsi="仿宋" w:eastAsia="仿宋" w:cs="仿宋"/>
          <w:bCs/>
          <w:color w:val="000000"/>
          <w:sz w:val="31"/>
          <w:szCs w:val="31"/>
        </w:rPr>
        <w:t>个，累计</w:t>
      </w:r>
      <w:r>
        <w:rPr>
          <w:rFonts w:hint="eastAsia" w:ascii="仿宋" w:hAnsi="仿宋" w:eastAsia="仿宋" w:cs="仿宋"/>
          <w:bCs/>
          <w:color w:val="000000"/>
          <w:sz w:val="31"/>
          <w:szCs w:val="31"/>
          <w:u w:val="single"/>
        </w:rPr>
        <w:t>0</w:t>
      </w:r>
      <w:r>
        <w:rPr>
          <w:rFonts w:hint="eastAsia" w:ascii="仿宋" w:hAnsi="仿宋" w:eastAsia="仿宋" w:cs="仿宋"/>
          <w:bCs/>
          <w:color w:val="000000"/>
          <w:sz w:val="31"/>
          <w:szCs w:val="31"/>
        </w:rPr>
        <w:t>人次。开支内容包括：</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w:t>
      </w:r>
    </w:p>
    <w:p>
      <w:pPr>
        <w:autoSpaceDE w:val="0"/>
        <w:autoSpaceDN w:val="0"/>
        <w:adjustRightInd w:val="0"/>
        <w:spacing w:line="560" w:lineRule="exact"/>
        <w:ind w:firstLine="620" w:firstLineChars="200"/>
        <w:jc w:val="left"/>
        <w:rPr>
          <w:rFonts w:hint="eastAsia" w:ascii="仿宋" w:hAnsi="仿宋" w:eastAsia="仿宋" w:cs="仿宋"/>
          <w:sz w:val="31"/>
          <w:szCs w:val="31"/>
        </w:rPr>
      </w:pPr>
      <w:r>
        <w:rPr>
          <w:rFonts w:hint="eastAsia" w:ascii="仿宋" w:hAnsi="仿宋" w:eastAsia="仿宋" w:cs="仿宋"/>
          <w:kern w:val="0"/>
          <w:sz w:val="31"/>
          <w:szCs w:val="31"/>
        </w:rPr>
        <w:t>（二）公务用车购置及运行费支出</w:t>
      </w:r>
      <w:r>
        <w:rPr>
          <w:rFonts w:ascii="仿宋" w:hAnsi="仿宋" w:eastAsia="仿宋" w:cs="仿宋"/>
          <w:sz w:val="31"/>
          <w:u w:color="auto"/>
        </w:rPr>
        <w:t>1.53万元。其中：公务用车购置支出0.00万元，完成年初预算的</w:t>
      </w:r>
      <w:r>
        <w:rPr>
          <w:rFonts w:hint="eastAsia" w:ascii="仿宋" w:hAnsi="仿宋" w:eastAsia="仿宋" w:cs="仿宋"/>
          <w:sz w:val="31"/>
          <w:szCs w:val="31"/>
        </w:rPr>
        <w:t>0%</w:t>
      </w:r>
      <w:r>
        <w:rPr>
          <w:rFonts w:hint="eastAsia" w:ascii="仿宋" w:hAnsi="仿宋" w:eastAsia="仿宋" w:cs="仿宋"/>
          <w:kern w:val="0"/>
          <w:sz w:val="31"/>
          <w:szCs w:val="31"/>
        </w:rPr>
        <w:t>，比上年</w:t>
      </w:r>
      <w:r>
        <w:rPr>
          <w:rFonts w:hint="eastAsia" w:ascii="仿宋" w:hAnsi="仿宋" w:eastAsia="仿宋" w:cs="仿宋"/>
          <w:sz w:val="31"/>
          <w:szCs w:val="31"/>
        </w:rPr>
        <w:t>增加0.00</w:t>
      </w:r>
      <w:r>
        <w:rPr>
          <w:rFonts w:hint="eastAsia" w:ascii="仿宋" w:hAnsi="仿宋" w:eastAsia="仿宋" w:cs="仿宋"/>
          <w:kern w:val="0"/>
          <w:sz w:val="31"/>
          <w:szCs w:val="31"/>
        </w:rPr>
        <w:t>万元，</w:t>
      </w:r>
      <w:r>
        <w:rPr>
          <w:rFonts w:hint="eastAsia" w:ascii="仿宋" w:hAnsi="仿宋" w:eastAsia="仿宋" w:cs="仿宋"/>
          <w:color w:val="FF0000"/>
          <w:kern w:val="0"/>
          <w:sz w:val="31"/>
          <w:szCs w:val="31"/>
        </w:rPr>
        <w:t>原因是……</w:t>
      </w:r>
      <w:r>
        <w:rPr>
          <w:rFonts w:hint="eastAsia" w:ascii="仿宋" w:hAnsi="仿宋" w:eastAsia="仿宋" w:cs="仿宋"/>
          <w:kern w:val="0"/>
          <w:sz w:val="31"/>
          <w:szCs w:val="31"/>
        </w:rPr>
        <w:t>。购置</w:t>
      </w:r>
      <w:r>
        <w:rPr>
          <w:rFonts w:hint="eastAsia" w:ascii="仿宋" w:hAnsi="仿宋" w:eastAsia="仿宋" w:cs="仿宋"/>
          <w:sz w:val="31"/>
          <w:szCs w:val="31"/>
        </w:rPr>
        <w:t>了</w:t>
      </w:r>
      <w:r>
        <w:rPr>
          <w:rFonts w:ascii="仿宋" w:hAnsi="仿宋" w:eastAsia="仿宋" w:cs="仿宋"/>
          <w:sz w:val="31"/>
          <w:u w:color="auto"/>
        </w:rPr>
        <w:t>0辆公务用车，</w:t>
      </w:r>
      <w:r>
        <w:rPr>
          <w:rFonts w:hint="eastAsia" w:ascii="仿宋" w:hAnsi="仿宋" w:eastAsia="仿宋" w:cs="仿宋"/>
          <w:color w:val="FF0000"/>
          <w:sz w:val="31"/>
          <w:szCs w:val="31"/>
        </w:rPr>
        <w:t>主要用于……</w:t>
      </w:r>
    </w:p>
    <w:p>
      <w:pPr>
        <w:autoSpaceDE w:val="0"/>
        <w:autoSpaceDN w:val="0"/>
        <w:adjustRightInd w:val="0"/>
        <w:spacing w:line="560" w:lineRule="exact"/>
        <w:ind w:firstLine="620" w:firstLineChars="200"/>
        <w:jc w:val="left"/>
        <w:rPr>
          <w:rFonts w:hint="eastAsia" w:ascii="仿宋" w:hAnsi="仿宋" w:eastAsia="仿宋" w:cs="仿宋"/>
          <w:kern w:val="0"/>
          <w:sz w:val="31"/>
          <w:szCs w:val="31"/>
          <w:lang w:eastAsia="zh-CN"/>
        </w:rPr>
      </w:pPr>
      <w:r>
        <w:rPr>
          <w:rFonts w:hint="eastAsia" w:ascii="仿宋" w:hAnsi="仿宋" w:eastAsia="仿宋" w:cs="仿宋"/>
          <w:kern w:val="0"/>
          <w:sz w:val="31"/>
          <w:szCs w:val="31"/>
        </w:rPr>
        <w:t>公务用车运行支出</w:t>
      </w:r>
      <w:r>
        <w:rPr>
          <w:rFonts w:ascii="仿宋" w:hAnsi="仿宋" w:eastAsia="仿宋" w:cs="仿宋"/>
          <w:sz w:val="31"/>
          <w:u w:color="auto"/>
        </w:rPr>
        <w:t>1.53万元，完成年初预算的85%</w:t>
      </w:r>
      <w:r>
        <w:rPr>
          <w:rFonts w:hint="eastAsia" w:ascii="仿宋" w:hAnsi="仿宋" w:eastAsia="仿宋" w:cs="仿宋"/>
          <w:kern w:val="0"/>
          <w:sz w:val="31"/>
          <w:szCs w:val="31"/>
        </w:rPr>
        <w:t>，比上年</w:t>
      </w:r>
      <w:r>
        <w:rPr>
          <w:rFonts w:ascii="仿宋" w:hAnsi="仿宋" w:eastAsia="仿宋" w:cs="仿宋"/>
          <w:sz w:val="31"/>
          <w:u w:color="auto"/>
        </w:rPr>
        <w:t>减少0.27万元，</w:t>
      </w:r>
      <w:r>
        <w:rPr>
          <w:rFonts w:hint="eastAsia" w:ascii="仿宋" w:hAnsi="仿宋" w:eastAsia="仿宋" w:cs="仿宋"/>
          <w:color w:val="FF0000"/>
          <w:kern w:val="2"/>
          <w:sz w:val="31"/>
          <w:szCs w:val="31"/>
          <w:highlight w:val="none"/>
          <w:lang w:val="en-US" w:eastAsia="zh-CN" w:bidi="ar"/>
        </w:rPr>
        <w:t>原因是：年度压缩“三公”经费支出。</w:t>
      </w:r>
      <w:r>
        <w:rPr>
          <w:rFonts w:hint="eastAsia" w:ascii="仿宋" w:hAnsi="仿宋" w:eastAsia="仿宋" w:cs="仿宋"/>
          <w:kern w:val="0"/>
          <w:sz w:val="31"/>
          <w:szCs w:val="31"/>
        </w:rPr>
        <w:t>主要用于机要文件交换、市内因公出行以及开</w:t>
      </w:r>
      <w:r>
        <w:rPr>
          <w:rFonts w:hint="eastAsia" w:ascii="仿宋" w:hAnsi="仿宋" w:eastAsia="仿宋" w:cs="仿宋"/>
          <w:color w:val="FF0000"/>
          <w:kern w:val="0"/>
          <w:sz w:val="31"/>
          <w:szCs w:val="31"/>
          <w:u w:val="single"/>
        </w:rPr>
        <w:t>展</w:t>
      </w:r>
      <w:r>
        <w:rPr>
          <w:rFonts w:hint="eastAsia" w:ascii="仿宋" w:hAnsi="仿宋" w:eastAsia="仿宋" w:cs="仿宋"/>
          <w:color w:val="FF0000"/>
          <w:kern w:val="0"/>
          <w:sz w:val="31"/>
          <w:szCs w:val="31"/>
          <w:u w:val="single"/>
          <w:lang w:val="en-US" w:eastAsia="zh-CN"/>
        </w:rPr>
        <w:t>园区</w:t>
      </w:r>
      <w:r>
        <w:rPr>
          <w:rFonts w:hint="eastAsia" w:ascii="仿宋" w:hAnsi="仿宋" w:eastAsia="仿宋" w:cs="仿宋"/>
          <w:color w:val="FF0000"/>
          <w:kern w:val="0"/>
          <w:sz w:val="31"/>
          <w:szCs w:val="31"/>
          <w:u w:val="single"/>
        </w:rPr>
        <w:t>业务</w:t>
      </w:r>
      <w:r>
        <w:rPr>
          <w:rFonts w:hint="eastAsia" w:ascii="仿宋" w:hAnsi="仿宋" w:eastAsia="仿宋" w:cs="仿宋"/>
          <w:kern w:val="0"/>
          <w:sz w:val="31"/>
          <w:szCs w:val="31"/>
        </w:rPr>
        <w:t>所需车辆燃料费、维修费、过路过桥费、保险费等。2022年，</w:t>
      </w:r>
      <w:r>
        <w:rPr>
          <w:rFonts w:hint="eastAsia" w:ascii="仿宋" w:hAnsi="仿宋" w:eastAsia="仿宋" w:cs="仿宋"/>
          <w:color w:val="000000"/>
          <w:sz w:val="31"/>
          <w:szCs w:val="31"/>
          <w:u w:val="single"/>
          <w:shd w:val="clear" w:color="auto" w:fill="FFFFFF"/>
        </w:rPr>
        <w:t>百色起义纪念园管理中心（本级）</w:t>
      </w:r>
      <w:r>
        <w:rPr>
          <w:rFonts w:hint="eastAsia" w:ascii="仿宋" w:hAnsi="仿宋" w:eastAsia="仿宋" w:cs="仿宋"/>
          <w:bCs/>
          <w:color w:val="000000"/>
          <w:sz w:val="31"/>
          <w:szCs w:val="31"/>
        </w:rPr>
        <w:t>单位开支财政拨款的公务用车保有量为</w:t>
      </w:r>
      <w:r>
        <w:rPr>
          <w:rFonts w:hint="eastAsia" w:ascii="仿宋" w:hAnsi="仿宋" w:eastAsia="仿宋" w:cs="仿宋"/>
          <w:bCs/>
          <w:color w:val="000000"/>
          <w:sz w:val="31"/>
          <w:szCs w:val="31"/>
          <w:u w:val="single"/>
        </w:rPr>
        <w:t>1</w:t>
      </w:r>
      <w:r>
        <w:rPr>
          <w:rFonts w:hint="eastAsia" w:ascii="仿宋" w:hAnsi="仿宋" w:eastAsia="仿宋" w:cs="仿宋"/>
          <w:bCs/>
          <w:color w:val="000000"/>
          <w:sz w:val="31"/>
          <w:szCs w:val="31"/>
        </w:rPr>
        <w:t>辆，全年运行费支出</w:t>
      </w:r>
      <w:r>
        <w:rPr>
          <w:rFonts w:hint="eastAsia" w:ascii="仿宋" w:hAnsi="仿宋" w:eastAsia="仿宋" w:cs="仿宋"/>
          <w:sz w:val="31"/>
          <w:szCs w:val="31"/>
        </w:rPr>
        <w:t>1.53</w:t>
      </w:r>
      <w:r>
        <w:rPr>
          <w:rFonts w:hint="eastAsia" w:ascii="仿宋" w:hAnsi="仿宋" w:eastAsia="仿宋" w:cs="仿宋"/>
          <w:bCs/>
          <w:color w:val="000000"/>
          <w:sz w:val="31"/>
          <w:szCs w:val="31"/>
        </w:rPr>
        <w:t>万元，</w:t>
      </w:r>
      <w:r>
        <w:rPr>
          <w:rFonts w:hint="eastAsia" w:ascii="仿宋" w:hAnsi="仿宋" w:eastAsia="仿宋" w:cs="仿宋"/>
          <w:bCs/>
          <w:color w:val="FF0000"/>
          <w:sz w:val="31"/>
          <w:szCs w:val="31"/>
          <w:u w:val="none"/>
        </w:rPr>
        <w:t>平均每辆</w:t>
      </w:r>
      <w:r>
        <w:rPr>
          <w:rFonts w:hint="eastAsia" w:ascii="仿宋" w:hAnsi="仿宋" w:eastAsia="仿宋" w:cs="仿宋"/>
          <w:bCs/>
          <w:color w:val="FF0000"/>
          <w:sz w:val="31"/>
          <w:szCs w:val="31"/>
          <w:u w:val="single"/>
          <w:lang w:val="en-US" w:eastAsia="zh-CN"/>
        </w:rPr>
        <w:t>1.53</w:t>
      </w:r>
      <w:r>
        <w:rPr>
          <w:rFonts w:hint="eastAsia" w:ascii="仿宋" w:hAnsi="仿宋" w:eastAsia="仿宋" w:cs="仿宋"/>
          <w:bCs/>
          <w:color w:val="FF0000"/>
          <w:sz w:val="31"/>
          <w:szCs w:val="31"/>
          <w:u w:val="none"/>
        </w:rPr>
        <w:t>万元</w:t>
      </w:r>
      <w:r>
        <w:rPr>
          <w:rFonts w:hint="eastAsia" w:ascii="仿宋" w:hAnsi="仿宋" w:eastAsia="仿宋" w:cs="仿宋"/>
          <w:bCs/>
          <w:color w:val="FF0000"/>
          <w:sz w:val="31"/>
          <w:szCs w:val="31"/>
          <w:u w:val="none"/>
          <w:lang w:eastAsia="zh-CN"/>
        </w:rPr>
        <w:t>。</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（三）公务接待费支出</w:t>
      </w:r>
      <w:r>
        <w:rPr>
          <w:rFonts w:hint="eastAsia" w:ascii="仿宋" w:hAnsi="仿宋" w:eastAsia="仿宋" w:cs="仿宋"/>
          <w:sz w:val="31"/>
          <w:szCs w:val="31"/>
        </w:rPr>
        <w:t>0.00</w:t>
      </w:r>
      <w:r>
        <w:rPr>
          <w:rFonts w:hint="eastAsia" w:ascii="仿宋" w:hAnsi="仿宋" w:eastAsia="仿宋" w:cs="仿宋"/>
          <w:kern w:val="0"/>
          <w:sz w:val="31"/>
          <w:szCs w:val="31"/>
        </w:rPr>
        <w:t>万元，完成年初预算的</w:t>
      </w:r>
      <w:r>
        <w:rPr>
          <w:rFonts w:hint="eastAsia" w:ascii="仿宋" w:hAnsi="仿宋" w:eastAsia="仿宋" w:cs="仿宋"/>
          <w:sz w:val="31"/>
          <w:szCs w:val="31"/>
        </w:rPr>
        <w:t>0%</w:t>
      </w:r>
      <w:r>
        <w:rPr>
          <w:rFonts w:hint="eastAsia" w:ascii="仿宋" w:hAnsi="仿宋" w:eastAsia="仿宋" w:cs="仿宋"/>
          <w:kern w:val="0"/>
          <w:sz w:val="31"/>
          <w:szCs w:val="31"/>
        </w:rPr>
        <w:t>， 比上年</w:t>
      </w:r>
      <w:r>
        <w:rPr>
          <w:rFonts w:hint="eastAsia" w:ascii="仿宋" w:hAnsi="仿宋" w:eastAsia="仿宋" w:cs="仿宋"/>
          <w:sz w:val="31"/>
          <w:szCs w:val="31"/>
        </w:rPr>
        <w:t>增加0.00</w:t>
      </w:r>
      <w:r>
        <w:rPr>
          <w:rFonts w:hint="eastAsia" w:ascii="仿宋" w:hAnsi="仿宋" w:eastAsia="仿宋" w:cs="仿宋"/>
          <w:kern w:val="0"/>
          <w:sz w:val="31"/>
          <w:szCs w:val="31"/>
        </w:rPr>
        <w:t>万元，</w:t>
      </w:r>
      <w:r>
        <w:rPr>
          <w:rFonts w:hint="eastAsia" w:ascii="仿宋" w:hAnsi="仿宋" w:eastAsia="仿宋" w:cs="仿宋"/>
          <w:color w:val="FF0000"/>
          <w:kern w:val="2"/>
          <w:sz w:val="31"/>
          <w:szCs w:val="31"/>
          <w:highlight w:val="none"/>
          <w:lang w:val="en-US" w:eastAsia="zh-CN" w:bidi="ar"/>
        </w:rPr>
        <w:t>原因是：无。</w:t>
      </w:r>
      <w:r>
        <w:rPr>
          <w:rFonts w:hint="eastAsia" w:ascii="仿宋" w:hAnsi="仿宋" w:eastAsia="仿宋" w:cs="仿宋"/>
          <w:kern w:val="0"/>
          <w:sz w:val="31"/>
          <w:szCs w:val="31"/>
        </w:rPr>
        <w:t>国内公务接待批次</w:t>
      </w:r>
      <w:r>
        <w:rPr>
          <w:rFonts w:hint="eastAsia" w:ascii="仿宋" w:hAnsi="仿宋" w:eastAsia="仿宋" w:cs="仿宋"/>
          <w:kern w:val="0"/>
          <w:sz w:val="31"/>
          <w:szCs w:val="31"/>
          <w:u w:val="single"/>
        </w:rPr>
        <w:t>0</w:t>
      </w:r>
      <w:r>
        <w:rPr>
          <w:rFonts w:hint="eastAsia" w:ascii="仿宋" w:hAnsi="仿宋" w:eastAsia="仿宋" w:cs="仿宋"/>
          <w:kern w:val="0"/>
          <w:sz w:val="31"/>
          <w:szCs w:val="31"/>
        </w:rPr>
        <w:t>次，人次</w:t>
      </w:r>
      <w:r>
        <w:rPr>
          <w:rFonts w:hint="eastAsia" w:ascii="仿宋" w:hAnsi="仿宋" w:eastAsia="仿宋" w:cs="仿宋"/>
          <w:kern w:val="0"/>
          <w:sz w:val="31"/>
          <w:szCs w:val="31"/>
          <w:u w:val="single"/>
        </w:rPr>
        <w:t>0</w:t>
      </w:r>
      <w:r>
        <w:rPr>
          <w:rFonts w:hint="eastAsia" w:ascii="仿宋" w:hAnsi="仿宋" w:eastAsia="仿宋" w:cs="仿宋"/>
          <w:kern w:val="0"/>
          <w:sz w:val="31"/>
          <w:szCs w:val="31"/>
        </w:rPr>
        <w:t>次，国（境）外公务接待批次</w:t>
      </w:r>
      <w:r>
        <w:rPr>
          <w:rFonts w:hint="eastAsia" w:ascii="仿宋" w:hAnsi="仿宋" w:eastAsia="仿宋" w:cs="仿宋"/>
          <w:kern w:val="0"/>
          <w:sz w:val="31"/>
          <w:szCs w:val="31"/>
          <w:u w:val="single"/>
        </w:rPr>
        <w:t>0</w:t>
      </w:r>
      <w:r>
        <w:rPr>
          <w:rFonts w:hint="eastAsia" w:ascii="仿宋" w:hAnsi="仿宋" w:eastAsia="仿宋" w:cs="仿宋"/>
          <w:kern w:val="0"/>
          <w:sz w:val="31"/>
          <w:szCs w:val="31"/>
        </w:rPr>
        <w:t>次，人次</w:t>
      </w:r>
      <w:r>
        <w:rPr>
          <w:rFonts w:hint="eastAsia" w:ascii="仿宋" w:hAnsi="仿宋" w:eastAsia="仿宋" w:cs="仿宋"/>
          <w:kern w:val="0"/>
          <w:sz w:val="31"/>
          <w:szCs w:val="31"/>
          <w:u w:val="single"/>
        </w:rPr>
        <w:t xml:space="preserve"> </w:t>
      </w:r>
      <w:bookmarkStart w:id="2" w:name="_Hlk145513101"/>
      <w:r>
        <w:rPr>
          <w:rFonts w:hint="eastAsia" w:ascii="仿宋" w:hAnsi="仿宋" w:eastAsia="仿宋" w:cs="仿宋"/>
          <w:kern w:val="0"/>
          <w:sz w:val="31"/>
          <w:szCs w:val="31"/>
          <w:u w:val="single"/>
        </w:rPr>
        <w:t>0</w:t>
      </w:r>
      <w:bookmarkEnd w:id="2"/>
      <w:r>
        <w:rPr>
          <w:rFonts w:hint="eastAsia" w:ascii="仿宋" w:hAnsi="仿宋" w:eastAsia="仿宋" w:cs="仿宋"/>
          <w:kern w:val="0"/>
          <w:sz w:val="31"/>
          <w:szCs w:val="31"/>
        </w:rPr>
        <w:t>次。其中：</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（一）</w:t>
      </w:r>
      <w:r>
        <w:rPr>
          <w:rFonts w:hint="eastAsia" w:ascii="仿宋" w:hAnsi="仿宋" w:eastAsia="仿宋" w:cs="仿宋"/>
          <w:sz w:val="31"/>
          <w:szCs w:val="31"/>
        </w:rPr>
        <w:t xml:space="preserve"> </w:t>
      </w:r>
      <w:r>
        <w:rPr>
          <w:rFonts w:hint="eastAsia" w:ascii="仿宋" w:hAnsi="仿宋" w:eastAsia="仿宋" w:cs="仿宋"/>
          <w:kern w:val="0"/>
          <w:sz w:val="31"/>
          <w:szCs w:val="31"/>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color w:val="000000"/>
          <w:kern w:val="0"/>
          <w:sz w:val="11"/>
          <w:szCs w:val="11"/>
        </w:rPr>
      </w:pPr>
      <w:r>
        <w:rPr>
          <w:rFonts w:hint="eastAsia" w:ascii="仿宋_GB2312" w:eastAsia="仿宋_GB2312" w:cs="仿宋_GB2312"/>
          <w:color w:val="000000"/>
          <w:kern w:val="0"/>
          <w:sz w:val="32"/>
          <w:szCs w:val="32"/>
        </w:rPr>
        <w:t>本部门2021年度机关运行经费支出</w:t>
      </w:r>
      <w:bookmarkStart w:id="3" w:name="PO_part3A7B1Amount1"/>
      <w:r>
        <w:rPr>
          <w:rFonts w:ascii="仿宋_GB2312" w:eastAsia="仿宋_GB2312" w:cs="仿宋_GB2312"/>
          <w:color w:val="000000"/>
          <w:kern w:val="0"/>
          <w:sz w:val="32"/>
          <w:szCs w:val="32"/>
        </w:rPr>
        <w:t>0.00</w:t>
      </w:r>
      <w:r>
        <w:rPr>
          <w:rFonts w:hint="eastAsia" w:ascii="仿宋_GB2312" w:eastAsia="仿宋_GB2312" w:cs="仿宋_GB2312"/>
          <w:color w:val="000000"/>
          <w:kern w:val="0"/>
          <w:sz w:val="11"/>
          <w:szCs w:val="11"/>
        </w:rPr>
        <w:t xml:space="preserve"> </w:t>
      </w:r>
      <w:bookmarkEnd w:id="3"/>
      <w:r>
        <w:rPr>
          <w:rFonts w:hint="eastAsia" w:ascii="仿宋_GB2312" w:eastAsia="仿宋_GB2312" w:cs="仿宋_GB2312"/>
          <w:color w:val="000000"/>
          <w:kern w:val="0"/>
          <w:sz w:val="32"/>
          <w:szCs w:val="32"/>
        </w:rPr>
        <w:t>万元，较2020年度</w:t>
      </w:r>
      <w:bookmarkStart w:id="4" w:name="PO_part3A7B1C1IncPercentIncAmount1"/>
      <w:r>
        <w:rPr>
          <w:rFonts w:hint="eastAsia" w:ascii="仿宋_GB2312" w:eastAsia="仿宋_GB2312" w:cs="仿宋_GB2312"/>
          <w:color w:val="000000"/>
          <w:kern w:val="0"/>
          <w:sz w:val="32"/>
          <w:szCs w:val="32"/>
        </w:rPr>
        <w:t>0.00万元相比，与上年决算持平，无增减变动</w:t>
      </w:r>
      <w:r>
        <w:rPr>
          <w:rFonts w:hint="eastAsia" w:ascii="仿宋_GB2312" w:eastAsia="仿宋_GB2312" w:cs="仿宋_GB2312"/>
          <w:color w:val="000000"/>
          <w:kern w:val="0"/>
          <w:sz w:val="11"/>
          <w:szCs w:val="11"/>
        </w:rPr>
        <w:t xml:space="preserve"> </w:t>
      </w:r>
      <w:bookmarkEnd w:id="4"/>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（二）政府采购支出情况说明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本部门2022年度政府采购支出总额</w:t>
      </w:r>
      <w:r>
        <w:rPr>
          <w:rFonts w:hint="eastAsia" w:ascii="仿宋" w:hAnsi="仿宋" w:eastAsia="仿宋" w:cs="仿宋"/>
          <w:sz w:val="31"/>
          <w:u w:color="auto"/>
          <w:lang w:val="en-US" w:eastAsia="zh-CN"/>
        </w:rPr>
        <w:t>0</w:t>
      </w:r>
      <w:r>
        <w:rPr>
          <w:rFonts w:ascii="仿宋" w:hAnsi="仿宋" w:eastAsia="仿宋" w:cs="仿宋"/>
          <w:sz w:val="31"/>
          <w:u w:color="auto"/>
        </w:rPr>
        <w:t>万元，其中：政府采购货物支出</w:t>
      </w:r>
      <w:r>
        <w:rPr>
          <w:rFonts w:hint="eastAsia" w:ascii="仿宋" w:hAnsi="仿宋" w:eastAsia="仿宋" w:cs="仿宋"/>
          <w:sz w:val="31"/>
          <w:u w:color="auto"/>
          <w:lang w:val="en-US" w:eastAsia="zh-CN"/>
        </w:rPr>
        <w:t>0</w:t>
      </w:r>
      <w:r>
        <w:rPr>
          <w:rFonts w:ascii="仿宋" w:hAnsi="仿宋" w:eastAsia="仿宋" w:cs="仿宋"/>
          <w:sz w:val="31"/>
          <w:u w:color="auto"/>
        </w:rPr>
        <w:t>万元、政府采购工程支出</w:t>
      </w:r>
      <w:r>
        <w:rPr>
          <w:rFonts w:hint="eastAsia" w:ascii="仿宋" w:hAnsi="仿宋" w:eastAsia="仿宋" w:cs="仿宋"/>
          <w:sz w:val="31"/>
          <w:u w:color="auto"/>
          <w:lang w:val="en-US" w:eastAsia="zh-CN"/>
        </w:rPr>
        <w:t>0</w:t>
      </w:r>
      <w:r>
        <w:rPr>
          <w:rFonts w:ascii="仿宋" w:hAnsi="仿宋" w:eastAsia="仿宋" w:cs="仿宋"/>
          <w:sz w:val="31"/>
          <w:u w:color="auto"/>
        </w:rPr>
        <w:t>万元、政府采购服务支出</w:t>
      </w:r>
      <w:r>
        <w:rPr>
          <w:rFonts w:hint="eastAsia" w:ascii="仿宋" w:hAnsi="仿宋" w:eastAsia="仿宋" w:cs="仿宋"/>
          <w:sz w:val="31"/>
          <w:u w:color="auto"/>
          <w:lang w:val="en-US" w:eastAsia="zh-CN"/>
        </w:rPr>
        <w:t>0</w:t>
      </w:r>
      <w:bookmarkStart w:id="6" w:name="_GoBack"/>
      <w:bookmarkEnd w:id="6"/>
      <w:r>
        <w:rPr>
          <w:rFonts w:ascii="仿宋" w:hAnsi="仿宋" w:eastAsia="仿宋" w:cs="仿宋"/>
          <w:sz w:val="31"/>
          <w:u w:color="auto"/>
        </w:rPr>
        <w:t>万元，（口径参见部门决算F03表《机构运行信息表》中政府采购相关数据）。授予中小企业合同金额</w:t>
      </w:r>
      <w:r>
        <w:rPr>
          <w:rFonts w:hint="eastAsia" w:ascii="仿宋" w:hAnsi="仿宋" w:eastAsia="仿宋" w:cs="仿宋"/>
          <w:sz w:val="31"/>
          <w:u w:color="auto"/>
          <w:lang w:val="en-US" w:eastAsia="zh-CN"/>
        </w:rPr>
        <w:t>0</w:t>
      </w:r>
      <w:r>
        <w:rPr>
          <w:rFonts w:ascii="仿宋" w:hAnsi="仿宋" w:eastAsia="仿宋" w:cs="仿宋"/>
          <w:sz w:val="31"/>
          <w:u w:color="auto"/>
        </w:rPr>
        <w:t>万元，占政府采购支出总额的</w:t>
      </w:r>
      <w:r>
        <w:rPr>
          <w:rFonts w:hint="eastAsia" w:ascii="仿宋" w:hAnsi="仿宋" w:eastAsia="仿宋" w:cs="仿宋"/>
          <w:sz w:val="31"/>
          <w:u w:color="auto"/>
          <w:lang w:val="en-US" w:eastAsia="zh-CN"/>
        </w:rPr>
        <w:t>0</w:t>
      </w:r>
      <w:r>
        <w:rPr>
          <w:rFonts w:ascii="仿宋" w:hAnsi="仿宋" w:eastAsia="仿宋" w:cs="仿宋"/>
          <w:sz w:val="31"/>
          <w:u w:color="auto"/>
        </w:rPr>
        <w:t>%，其中：授予小微企业合同金额</w:t>
      </w:r>
      <w:r>
        <w:rPr>
          <w:rFonts w:hint="eastAsia" w:ascii="仿宋" w:hAnsi="仿宋" w:eastAsia="仿宋" w:cs="仿宋"/>
          <w:sz w:val="31"/>
          <w:u w:color="auto"/>
          <w:lang w:val="en-US" w:eastAsia="zh-CN"/>
        </w:rPr>
        <w:t>0</w:t>
      </w:r>
      <w:r>
        <w:rPr>
          <w:rFonts w:ascii="仿宋" w:hAnsi="仿宋" w:eastAsia="仿宋" w:cs="仿宋"/>
          <w:sz w:val="31"/>
          <w:u w:color="auto"/>
        </w:rPr>
        <w:t>万元，占授予中小企业合同金额的</w:t>
      </w:r>
      <w:r>
        <w:rPr>
          <w:rFonts w:hint="eastAsia" w:ascii="仿宋" w:hAnsi="仿宋" w:eastAsia="仿宋" w:cs="仿宋"/>
          <w:sz w:val="31"/>
          <w:u w:color="auto"/>
          <w:lang w:val="en-US" w:eastAsia="zh-CN"/>
        </w:rPr>
        <w:t>0</w:t>
      </w:r>
      <w:r>
        <w:rPr>
          <w:rFonts w:ascii="仿宋" w:hAnsi="仿宋" w:eastAsia="仿宋" w:cs="仿宋"/>
          <w:sz w:val="31"/>
          <w:u w:color="auto"/>
        </w:rPr>
        <w:t>%。</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（三）国有资产占用情况说明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截至2022年12月31日，本部门共有车辆</w:t>
      </w:r>
      <w:r>
        <w:rPr>
          <w:rFonts w:ascii="仿宋" w:hAnsi="仿宋" w:eastAsia="仿宋" w:cs="仿宋"/>
          <w:sz w:val="31"/>
          <w:u w:color="auto"/>
        </w:rPr>
        <w:t>1辆，其中：副部（省）级领导干部用车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辆、机要通信用车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辆、应急保障用车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辆、执法执勤用车</w:t>
      </w:r>
      <w:bookmarkStart w:id="5" w:name="_Hlk145513911"/>
      <w:r>
        <w:rPr>
          <w:rFonts w:hint="eastAsia" w:ascii="仿宋" w:hAnsi="仿宋" w:eastAsia="仿宋" w:cs="仿宋"/>
          <w:kern w:val="0"/>
          <w:sz w:val="31"/>
          <w:szCs w:val="31"/>
          <w:u w:val="single"/>
        </w:rPr>
        <w:t>0</w:t>
      </w:r>
      <w:bookmarkEnd w:id="5"/>
      <w:r>
        <w:rPr>
          <w:rFonts w:hint="eastAsia" w:ascii="仿宋" w:hAnsi="仿宋" w:eastAsia="仿宋" w:cs="仿宋"/>
          <w:kern w:val="0"/>
          <w:sz w:val="31"/>
          <w:szCs w:val="31"/>
        </w:rPr>
        <w:t>辆、特种专业技术用车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辆、其他用车</w:t>
      </w:r>
      <w:r>
        <w:rPr>
          <w:rFonts w:hint="eastAsia" w:ascii="仿宋" w:hAnsi="仿宋" w:eastAsia="仿宋" w:cs="仿宋"/>
          <w:kern w:val="0"/>
          <w:sz w:val="31"/>
          <w:szCs w:val="31"/>
          <w:u w:val="single"/>
        </w:rPr>
        <w:t>1</w:t>
      </w:r>
      <w:r>
        <w:rPr>
          <w:rFonts w:hint="eastAsia" w:ascii="仿宋" w:hAnsi="仿宋" w:eastAsia="仿宋" w:cs="仿宋"/>
          <w:kern w:val="0"/>
          <w:sz w:val="31"/>
          <w:szCs w:val="31"/>
        </w:rPr>
        <w:t>辆，其他用车主要是</w:t>
      </w:r>
      <w:r>
        <w:rPr>
          <w:rFonts w:hint="eastAsia" w:ascii="仿宋" w:hAnsi="仿宋" w:eastAsia="仿宋" w:cs="仿宋"/>
          <w:kern w:val="0"/>
          <w:sz w:val="31"/>
          <w:szCs w:val="31"/>
          <w:lang w:val="en-US" w:eastAsia="zh-CN"/>
        </w:rPr>
        <w:t>用于园区业务用车</w:t>
      </w:r>
      <w:r>
        <w:rPr>
          <w:rFonts w:hint="eastAsia" w:ascii="仿宋" w:hAnsi="仿宋" w:eastAsia="仿宋" w:cs="仿宋"/>
          <w:kern w:val="0"/>
          <w:sz w:val="31"/>
          <w:szCs w:val="31"/>
        </w:rPr>
        <w:t>；单位价值50万元以上通用设备</w:t>
      </w:r>
      <w:r>
        <w:rPr>
          <w:rFonts w:hint="eastAsia" w:ascii="仿宋" w:hAnsi="仿宋" w:eastAsia="仿宋" w:cs="仿宋"/>
          <w:kern w:val="0"/>
          <w:sz w:val="31"/>
          <w:szCs w:val="31"/>
          <w:u w:val="single"/>
        </w:rPr>
        <w:t>0</w:t>
      </w:r>
      <w:r>
        <w:rPr>
          <w:rFonts w:hint="eastAsia" w:ascii="仿宋" w:hAnsi="仿宋" w:eastAsia="仿宋" w:cs="仿宋"/>
          <w:kern w:val="0"/>
          <w:sz w:val="31"/>
          <w:szCs w:val="31"/>
        </w:rPr>
        <w:t>台（套）；单位价值100万元以上专用设备</w:t>
      </w:r>
      <w:r>
        <w:rPr>
          <w:rFonts w:hint="eastAsia" w:ascii="仿宋" w:hAnsi="仿宋" w:eastAsia="仿宋" w:cs="仿宋"/>
          <w:kern w:val="0"/>
          <w:sz w:val="31"/>
          <w:szCs w:val="31"/>
          <w:u w:val="single"/>
        </w:rPr>
        <w:t>0</w:t>
      </w:r>
      <w:r>
        <w:rPr>
          <w:rFonts w:hint="eastAsia" w:ascii="仿宋" w:hAnsi="仿宋" w:eastAsia="仿宋" w:cs="仿宋"/>
          <w:kern w:val="0"/>
          <w:sz w:val="31"/>
          <w:szCs w:val="31"/>
        </w:rPr>
        <w:t>台（套）。</w:t>
      </w:r>
    </w:p>
    <w:p>
      <w:pPr>
        <w:pStyle w:val="6"/>
        <w:widowControl/>
        <w:spacing w:before="196" w:beforeAutospacing="0" w:after="196" w:afterAutospacing="0" w:line="540" w:lineRule="atLeast"/>
        <w:ind w:firstLine="420"/>
        <w:jc w:val="both"/>
        <w:rPr>
          <w:rFonts w:ascii="黑体" w:hAnsi="黑体" w:eastAsia="黑体" w:cs="黑体"/>
          <w:sz w:val="32"/>
          <w:szCs w:val="32"/>
        </w:rPr>
      </w:pPr>
      <w:r>
        <w:rPr>
          <w:rFonts w:hint="eastAsia" w:ascii="黑体" w:hAnsi="黑体" w:eastAsia="黑体" w:cs="黑体"/>
          <w:color w:val="000000"/>
          <w:sz w:val="32"/>
          <w:szCs w:val="32"/>
          <w:shd w:val="clear" w:color="auto" w:fill="FFFFFF"/>
        </w:rPr>
        <w:t>八、预算绩效管理工作开展情况。</w:t>
      </w:r>
    </w:p>
    <w:p>
      <w:pPr>
        <w:spacing w:line="360" w:lineRule="auto"/>
        <w:ind w:firstLine="560"/>
        <w:jc w:val="left"/>
        <w:rPr>
          <w:rFonts w:hint="eastAsia" w:ascii="仿宋" w:hAnsi="仿宋" w:eastAsia="仿宋" w:cs="仿宋"/>
          <w:sz w:val="31"/>
          <w:szCs w:val="31"/>
          <w:shd w:val="clear" w:color="auto" w:fill="FFFFFF"/>
        </w:rPr>
      </w:pPr>
      <w:r>
        <w:rPr>
          <w:rFonts w:hint="eastAsia" w:ascii="仿宋" w:hAnsi="仿宋" w:eastAsia="仿宋" w:cs="仿宋"/>
          <w:sz w:val="31"/>
          <w:szCs w:val="31"/>
          <w:shd w:val="clear" w:color="auto" w:fill="FFFFFF"/>
        </w:rPr>
        <w:t>（一）绩效管理工作开展情况。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根据财政预算管理要求，本部门组织对2022年度预算项目支出全面开展绩效自评。2022年共开展预算项目自评2个,共涉及资金1541万元,自评覆盖率达到100%。</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共组织对“百色起义纪念园日常运营维护费”等4个项目进行了绩效评价，涉及预算支出1541万元。从评价情况来看，均达到资金投入预期效果。</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组织对本部门及5个（单位）开展整体支出绩效自评，涉及一般公共预算支出2966.52万元。从评价情况来看，百色起义纪念园完成年内工作职责，出色完成各项工作任务。</w:t>
      </w:r>
    </w:p>
    <w:p>
      <w:pPr>
        <w:spacing w:line="360" w:lineRule="auto"/>
        <w:ind w:firstLine="560"/>
        <w:jc w:val="left"/>
        <w:rPr>
          <w:rFonts w:hint="eastAsia" w:ascii="仿宋" w:hAnsi="仿宋" w:eastAsia="仿宋" w:cs="仿宋"/>
          <w:sz w:val="31"/>
          <w:szCs w:val="31"/>
          <w:shd w:val="clear" w:color="auto" w:fill="FFFFFF"/>
        </w:rPr>
      </w:pPr>
      <w:r>
        <w:rPr>
          <w:rFonts w:hint="eastAsia" w:ascii="仿宋" w:hAnsi="仿宋" w:eastAsia="仿宋" w:cs="仿宋"/>
          <w:sz w:val="31"/>
          <w:szCs w:val="31"/>
          <w:shd w:val="clear" w:color="auto" w:fill="FFFFFF"/>
        </w:rPr>
        <w:t>（二）部门决算中项目绩效自评结果。</w:t>
      </w:r>
    </w:p>
    <w:p>
      <w:pPr>
        <w:ind w:firstLine="620" w:firstLineChars="200"/>
        <w:jc w:val="left"/>
        <w:rPr>
          <w:rFonts w:hint="default" w:ascii="仿宋" w:hAnsi="仿宋" w:eastAsia="仿宋" w:cs="仿宋"/>
          <w:color w:val="FF0000"/>
          <w:kern w:val="2"/>
          <w:sz w:val="31"/>
          <w:szCs w:val="31"/>
          <w:highlight w:val="none"/>
          <w:lang w:val="en-US" w:eastAsia="zh-CN" w:bidi="ar"/>
        </w:rPr>
      </w:pPr>
      <w:r>
        <w:rPr>
          <w:rFonts w:hint="eastAsia" w:ascii="仿宋" w:hAnsi="仿宋" w:eastAsia="仿宋" w:cs="仿宋"/>
          <w:sz w:val="31"/>
          <w:szCs w:val="31"/>
          <w:highlight w:val="none"/>
        </w:rPr>
        <w:t>我部门根据年初设定的绩效目标，</w:t>
      </w:r>
      <w:r>
        <w:rPr>
          <w:rFonts w:hint="eastAsia" w:ascii="仿宋" w:hAnsi="仿宋" w:eastAsia="仿宋" w:cs="仿宋"/>
          <w:color w:val="FF0000"/>
          <w:sz w:val="31"/>
          <w:szCs w:val="31"/>
          <w:highlight w:val="none"/>
          <w:lang w:val="en-US" w:eastAsia="zh-CN"/>
        </w:rPr>
        <w:t>4个</w:t>
      </w:r>
      <w:r>
        <w:rPr>
          <w:rFonts w:hint="eastAsia" w:ascii="仿宋" w:hAnsi="仿宋" w:eastAsia="仿宋" w:cs="仿宋"/>
          <w:sz w:val="31"/>
          <w:szCs w:val="31"/>
          <w:highlight w:val="none"/>
        </w:rPr>
        <w:t>项目自评</w:t>
      </w:r>
      <w:r>
        <w:rPr>
          <w:rFonts w:hint="eastAsia" w:ascii="仿宋" w:hAnsi="仿宋" w:eastAsia="仿宋" w:cs="仿宋"/>
          <w:color w:val="FF0000"/>
          <w:sz w:val="31"/>
          <w:szCs w:val="31"/>
          <w:highlight w:val="none"/>
        </w:rPr>
        <w:t>得分为</w:t>
      </w:r>
      <w:r>
        <w:rPr>
          <w:rFonts w:hint="eastAsia" w:ascii="仿宋" w:hAnsi="仿宋" w:eastAsia="仿宋" w:cs="仿宋"/>
          <w:color w:val="FF0000"/>
          <w:sz w:val="31"/>
          <w:szCs w:val="31"/>
          <w:highlight w:val="none"/>
          <w:lang w:val="en-US" w:eastAsia="zh-CN"/>
        </w:rPr>
        <w:t>90</w:t>
      </w:r>
      <w:r>
        <w:rPr>
          <w:rFonts w:hint="eastAsia" w:ascii="仿宋" w:hAnsi="仿宋" w:eastAsia="仿宋" w:cs="仿宋"/>
          <w:color w:val="FF0000"/>
          <w:sz w:val="31"/>
          <w:szCs w:val="31"/>
          <w:highlight w:val="none"/>
        </w:rPr>
        <w:t xml:space="preserve"> </w:t>
      </w:r>
      <w:r>
        <w:rPr>
          <w:rFonts w:hint="eastAsia" w:ascii="仿宋" w:hAnsi="仿宋" w:eastAsia="仿宋" w:cs="仿宋"/>
          <w:color w:val="auto"/>
          <w:sz w:val="31"/>
          <w:szCs w:val="31"/>
          <w:highlight w:val="none"/>
        </w:rPr>
        <w:t>分</w:t>
      </w:r>
      <w:r>
        <w:rPr>
          <w:rFonts w:hint="eastAsia" w:ascii="仿宋" w:hAnsi="仿宋" w:eastAsia="仿宋" w:cs="仿宋"/>
          <w:sz w:val="31"/>
          <w:szCs w:val="31"/>
          <w:highlight w:val="none"/>
        </w:rPr>
        <w:t>，项目全年预算数为</w:t>
      </w:r>
      <w:r>
        <w:rPr>
          <w:rFonts w:hint="eastAsia" w:ascii="仿宋" w:hAnsi="仿宋" w:eastAsia="仿宋" w:cs="仿宋"/>
          <w:sz w:val="31"/>
          <w:szCs w:val="31"/>
          <w:highlight w:val="none"/>
          <w:lang w:val="en-US" w:eastAsia="zh-CN"/>
        </w:rPr>
        <w:t>1541</w:t>
      </w:r>
      <w:r>
        <w:rPr>
          <w:rFonts w:hint="eastAsia" w:ascii="仿宋" w:hAnsi="仿宋" w:eastAsia="仿宋" w:cs="仿宋"/>
          <w:sz w:val="31"/>
          <w:szCs w:val="31"/>
          <w:highlight w:val="none"/>
        </w:rPr>
        <w:t>万元，执行数为</w:t>
      </w:r>
      <w:r>
        <w:rPr>
          <w:rFonts w:hint="eastAsia" w:ascii="仿宋" w:hAnsi="仿宋" w:eastAsia="仿宋" w:cs="仿宋"/>
          <w:color w:val="FF0000"/>
          <w:sz w:val="31"/>
          <w:szCs w:val="31"/>
          <w:highlight w:val="none"/>
          <w:lang w:val="en-US" w:eastAsia="zh-CN"/>
        </w:rPr>
        <w:t>577</w:t>
      </w:r>
      <w:r>
        <w:rPr>
          <w:rFonts w:hint="eastAsia" w:ascii="仿宋" w:hAnsi="仿宋" w:eastAsia="仿宋" w:cs="仿宋"/>
          <w:color w:val="auto"/>
          <w:sz w:val="31"/>
          <w:szCs w:val="31"/>
          <w:highlight w:val="none"/>
        </w:rPr>
        <w:t>万元</w:t>
      </w:r>
      <w:r>
        <w:rPr>
          <w:rFonts w:hint="eastAsia" w:ascii="仿宋" w:hAnsi="仿宋" w:eastAsia="仿宋" w:cs="仿宋"/>
          <w:sz w:val="31"/>
          <w:szCs w:val="31"/>
          <w:highlight w:val="none"/>
        </w:rPr>
        <w:t>，完成预算的</w:t>
      </w:r>
      <w:r>
        <w:rPr>
          <w:rFonts w:hint="eastAsia" w:ascii="仿宋" w:hAnsi="仿宋" w:eastAsia="仿宋" w:cs="仿宋"/>
          <w:color w:val="FF0000"/>
          <w:sz w:val="31"/>
          <w:szCs w:val="31"/>
          <w:highlight w:val="none"/>
          <w:lang w:val="en-US" w:eastAsia="zh-CN"/>
        </w:rPr>
        <w:t>37.44</w:t>
      </w:r>
      <w:r>
        <w:rPr>
          <w:rFonts w:hint="eastAsia" w:ascii="仿宋" w:hAnsi="仿宋" w:eastAsia="仿宋" w:cs="仿宋"/>
          <w:color w:val="FF0000"/>
          <w:sz w:val="31"/>
          <w:szCs w:val="31"/>
          <w:highlight w:val="none"/>
        </w:rPr>
        <w:t>%</w:t>
      </w:r>
      <w:r>
        <w:rPr>
          <w:rFonts w:hint="eastAsia" w:ascii="仿宋" w:hAnsi="仿宋" w:eastAsia="仿宋" w:cs="仿宋"/>
          <w:sz w:val="31"/>
          <w:szCs w:val="31"/>
          <w:highlight w:val="none"/>
        </w:rPr>
        <w:t>。</w:t>
      </w:r>
      <w:r>
        <w:rPr>
          <w:rFonts w:hint="eastAsia" w:ascii="仿宋" w:hAnsi="仿宋" w:eastAsia="仿宋" w:cs="仿宋"/>
          <w:color w:val="FF0000"/>
          <w:sz w:val="31"/>
          <w:szCs w:val="31"/>
          <w:highlight w:val="none"/>
        </w:rPr>
        <w:t>发现的主要问题及原因：</w:t>
      </w:r>
      <w:r>
        <w:rPr>
          <w:rFonts w:hint="eastAsia" w:ascii="仿宋" w:hAnsi="仿宋" w:eastAsia="仿宋" w:cs="仿宋"/>
          <w:color w:val="FF0000"/>
          <w:kern w:val="2"/>
          <w:sz w:val="31"/>
          <w:szCs w:val="31"/>
          <w:highlight w:val="none"/>
          <w:lang w:val="en-US" w:eastAsia="zh-CN" w:bidi="ar"/>
        </w:rPr>
        <w:t>由于资金下达晚，已市财力紧张，控制支出资金，无法支出项目资金。下一步改进措施：提前做好了支出计划，加快项目进度。</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5"/>
        <w:gridCol w:w="1795"/>
        <w:gridCol w:w="1560"/>
        <w:gridCol w:w="1574"/>
        <w:gridCol w:w="178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序号</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项目名称</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自评得分</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自评结论（等级）</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主要原因分析</w:t>
            </w: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1</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rPr>
              <w:t>百色起义纪念园景区景观提升项目经费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85</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优秀</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FF0000"/>
                <w:kern w:val="2"/>
                <w:sz w:val="31"/>
                <w:szCs w:val="31"/>
                <w:highlight w:val="none"/>
                <w:lang w:val="en-US" w:eastAsia="zh-CN" w:bidi="ar"/>
              </w:rPr>
              <w:t>由于资金下达晚，已市财力紧张，控制支出资金，无法支出项目资金。</w:t>
            </w:r>
          </w:p>
        </w:tc>
        <w:tc>
          <w:tcPr>
            <w:tcW w:w="1058"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详见相应项目绩效自评表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2</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rPr>
              <w:t>百色起义纪念园质量巩固提升整改项目</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85</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优秀</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FF0000"/>
                <w:kern w:val="2"/>
                <w:sz w:val="31"/>
                <w:szCs w:val="31"/>
                <w:highlight w:val="none"/>
                <w:lang w:val="en-US" w:eastAsia="zh-CN" w:bidi="ar"/>
              </w:rPr>
              <w:t>由于资金下达晚，已市财力紧张，控制支出资金，无法支出项目资金。</w:t>
            </w: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3</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rPr>
              <w:t>纪念园5A景区运营维护费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100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优秀</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4</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纪念馆、雕塑园</w:t>
            </w:r>
            <w:r>
              <w:rPr>
                <w:rFonts w:hint="eastAsia" w:ascii="仿宋" w:hAnsi="仿宋" w:eastAsia="仿宋" w:cs="仿宋"/>
                <w:color w:val="000000"/>
                <w:kern w:val="0"/>
                <w:sz w:val="31"/>
                <w:szCs w:val="31"/>
              </w:rPr>
              <w:t>日常维护费</w:t>
            </w: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100</w:t>
            </w: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rPr>
              <w:t>优秀</w:t>
            </w: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r>
              <w:rPr>
                <w:rFonts w:hint="eastAsia" w:ascii="仿宋" w:hAnsi="仿宋" w:eastAsia="仿宋" w:cs="仿宋"/>
                <w:color w:val="000000"/>
                <w:kern w:val="0"/>
                <w:sz w:val="31"/>
                <w:szCs w:val="31"/>
                <w:lang w:val="en-US" w:eastAsia="zh-CN" w:bidi="ar"/>
              </w:rPr>
              <w:t>...</w:t>
            </w:r>
          </w:p>
        </w:tc>
        <w:tc>
          <w:tcPr>
            <w:tcW w:w="179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5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57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78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eastAsia" w:ascii="仿宋" w:hAnsi="仿宋" w:eastAsia="仿宋" w:cs="仿宋"/>
                <w:color w:val="000000"/>
                <w:kern w:val="0"/>
                <w:sz w:val="31"/>
                <w:szCs w:val="31"/>
              </w:rPr>
            </w:pPr>
          </w:p>
        </w:tc>
        <w:tc>
          <w:tcPr>
            <w:tcW w:w="1058"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31"/>
                <w:szCs w:val="31"/>
              </w:rPr>
            </w:pPr>
          </w:p>
        </w:tc>
      </w:tr>
    </w:tbl>
    <w:p>
      <w:pPr>
        <w:autoSpaceDE w:val="0"/>
        <w:autoSpaceDN w:val="0"/>
        <w:adjustRightInd w:val="0"/>
        <w:spacing w:line="56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ind w:firstLine="640"/>
        <w:rPr>
          <w:rFonts w:hint="eastAsia" w:ascii="仿宋" w:hAnsi="仿宋" w:eastAsia="仿宋" w:cs="仿宋"/>
          <w:sz w:val="31"/>
          <w:szCs w:val="31"/>
        </w:rPr>
      </w:pPr>
      <w:r>
        <w:rPr>
          <w:rFonts w:hint="eastAsia" w:ascii="仿宋" w:hAnsi="仿宋" w:eastAsia="仿宋" w:cs="仿宋"/>
          <w:sz w:val="31"/>
          <w:szCs w:val="31"/>
        </w:rPr>
        <w:t>一、财政拨款收入：指</w:t>
      </w:r>
      <w:r>
        <w:rPr>
          <w:rFonts w:ascii="仿宋" w:hAnsi="仿宋" w:eastAsia="仿宋" w:cs="仿宋"/>
          <w:sz w:val="31"/>
          <w:u w:color="auto"/>
        </w:rPr>
        <w:t xml:space="preserve">百色部门当年拨付的资金。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二、事业收入：指事业单位开展专业业务活动及辅助活动所取得的收入。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三、经营收入：指事业单位在专业业务活动及其辅助活动之外开展非独立核算经营活动取得的收入。</w:t>
      </w:r>
    </w:p>
    <w:p>
      <w:pPr>
        <w:ind w:firstLine="640"/>
        <w:rPr>
          <w:rFonts w:hint="eastAsia" w:ascii="仿宋" w:hAnsi="仿宋" w:eastAsia="仿宋" w:cs="仿宋"/>
          <w:sz w:val="31"/>
          <w:szCs w:val="31"/>
        </w:rPr>
      </w:pPr>
      <w:r>
        <w:rPr>
          <w:rFonts w:hint="eastAsia" w:ascii="仿宋" w:hAnsi="仿宋" w:eastAsia="仿宋" w:cs="仿宋"/>
          <w:sz w:val="31"/>
          <w:szCs w:val="31"/>
        </w:rPr>
        <w:t>四、其他收入：指除上述“财政拨款收入”“事业收入”“经营收入”等以外的收入。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五、用事业基金弥补收支差额指事业单位在当年的“财政拨款收入”“事业收入”“经营收入”“其他收入”不足以安排当年支出的情况下，使用非财政拨款结余弥补本年度收支缺口的资金。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六、年初结转和结余：指以前年度尚未完成、结转到本年 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七、结余分配：指事业单位按规定提取的职工福利基金、事业基金和缴纳的所得税，以及建设单位按规定应交回的基本建设竣工项目结余资金。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八、年末结转和结余：指本年度或以前年度预算安排、因客观条件发生变化无法按原计划实施，需要延迟到以后年度按有关规定继续使用的资金。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九、基本支出：指为保障机构正常运转、完成日常工作任务而发生的人员支出和公用支出。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十、项目支出：指在基本支出之外为完成特定行政任务和事业发展目标所发生的支出。 </w:t>
      </w:r>
    </w:p>
    <w:p>
      <w:pPr>
        <w:ind w:firstLine="640"/>
        <w:rPr>
          <w:rFonts w:hint="eastAsia" w:ascii="仿宋" w:hAnsi="仿宋" w:eastAsia="仿宋" w:cs="仿宋"/>
          <w:sz w:val="31"/>
          <w:szCs w:val="31"/>
        </w:rPr>
      </w:pPr>
      <w:r>
        <w:rPr>
          <w:rFonts w:hint="eastAsia" w:ascii="仿宋" w:hAnsi="仿宋" w:eastAsia="仿宋" w:cs="仿宋"/>
          <w:sz w:val="31"/>
          <w:szCs w:val="31"/>
        </w:rPr>
        <w:t>十一、经营支出：指事业单位在专业业务活动及其辅助活动之外开展非独立核算经营活动发生的支出。</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十二、“三公”经费：纳入</w:t>
      </w:r>
      <w:r>
        <w:rPr>
          <w:rFonts w:ascii="仿宋" w:hAnsi="仿宋" w:eastAsia="仿宋" w:cs="仿宋"/>
          <w:sz w:val="31"/>
          <w:u w:color="auto"/>
        </w:rPr>
        <w:t xml:space="preserve">百色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6F495E6-A114-4F2F-A893-283C4A75F305}"/>
  </w:font>
  <w:font w:name="黑体">
    <w:panose1 w:val="02010609060101010101"/>
    <w:charset w:val="86"/>
    <w:family w:val="auto"/>
    <w:pitch w:val="default"/>
    <w:sig w:usb0="800002BF" w:usb1="38CF7CFA" w:usb2="00000016" w:usb3="00000000" w:csb0="00040001" w:csb1="00000000"/>
    <w:embedRegular r:id="rId2" w:fontKey="{27BF7318-24FD-4AB3-B61F-DB25A8AD36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AA46FBDD-E560-4E76-BAA0-13BA02D740B6}"/>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embedRegular r:id="rId4" w:fontKey="{2C9925CA-07C1-4538-B8CC-684A82C90AE8}"/>
  </w:font>
  <w:font w:name="ArialUnicodeMS">
    <w:altName w:val="宋体"/>
    <w:panose1 w:val="00000000000000000000"/>
    <w:charset w:val="86"/>
    <w:family w:val="auto"/>
    <w:pitch w:val="default"/>
    <w:sig w:usb0="00000000" w:usb1="00000000" w:usb2="00000010" w:usb3="00000000" w:csb0="00040000" w:csb1="00000000"/>
    <w:embedRegular r:id="rId5" w:fontKey="{6975C1D1-D732-468F-9BD3-3CF1A88C6110}"/>
  </w:font>
  <w:font w:name="方正小标宋简体">
    <w:altName w:val="方正舒体"/>
    <w:panose1 w:val="00000000000000000000"/>
    <w:charset w:val="86"/>
    <w:family w:val="auto"/>
    <w:pitch w:val="default"/>
    <w:sig w:usb0="00000000" w:usb1="00000000" w:usb2="00000000" w:usb3="00000000" w:csb0="00040000" w:csb1="00000000"/>
    <w:embedRegular r:id="rId6" w:fontKey="{24B3E4C1-7990-4AC5-A0F0-9D2ECAB800E6}"/>
  </w:font>
  <w:font w:name="微软雅黑">
    <w:panose1 w:val="020B0503020204020204"/>
    <w:charset w:val="86"/>
    <w:family w:val="swiss"/>
    <w:pitch w:val="default"/>
    <w:sig w:usb0="80000287" w:usb1="2ACF3C50" w:usb2="00000016" w:usb3="00000000" w:csb0="0004001F" w:csb1="00000000"/>
    <w:embedRegular r:id="rId7" w:fontKey="{1FD75E44-C0E8-436B-9E49-6784AE777BD8}"/>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7D102"/>
    <w:multiLevelType w:val="multilevel"/>
    <w:tmpl w:val="3277D102"/>
    <w:lvl w:ilvl="0" w:tentative="0">
      <w:start w:val="1"/>
      <w:numFmt w:val="chineseCounting"/>
      <w:suff w:val="nothing"/>
      <w:lvlText w:val="%1、"/>
      <w:lvlJc w:val="left"/>
      <w:pPr>
        <w:tabs>
          <w:tab w:val="left" w:pos="0"/>
        </w:tabs>
        <w:ind w:left="0" w:firstLine="0"/>
      </w:pPr>
      <w:rPr>
        <w:rFonts w:hint="eastAsia" w:ascii="宋体" w:hAnsi="宋体" w:eastAsia="黑体" w:cs="宋体"/>
        <w:sz w:val="32"/>
      </w:rPr>
    </w:lvl>
    <w:lvl w:ilvl="1" w:tentative="0">
      <w:start w:val="1"/>
      <w:numFmt w:val="chineseCounting"/>
      <w:pStyle w:val="3"/>
      <w:suff w:val="nothing"/>
      <w:lvlText w:val="（%2）"/>
      <w:lvlJc w:val="left"/>
      <w:pPr>
        <w:tabs>
          <w:tab w:val="left" w:pos="0"/>
        </w:tabs>
        <w:ind w:left="0" w:firstLine="0"/>
      </w:pPr>
      <w:rPr>
        <w:rFonts w:hint="eastAsia" w:ascii="宋体" w:hAnsi="宋体" w:eastAsia="仿宋" w:cs="宋体"/>
        <w:b/>
        <w:sz w:val="32"/>
      </w:rPr>
    </w:lvl>
    <w:lvl w:ilvl="2" w:tentative="0">
      <w:start w:val="1"/>
      <w:numFmt w:val="decimal"/>
      <w:suff w:val="nothing"/>
      <w:lvlText w:val="%3．"/>
      <w:lvlJc w:val="left"/>
      <w:pPr>
        <w:tabs>
          <w:tab w:val="left" w:pos="0"/>
        </w:tabs>
        <w:ind w:left="0" w:firstLine="0"/>
      </w:pPr>
      <w:rPr>
        <w:rFonts w:hint="eastAsia" w:ascii="Times New Roman" w:hAnsi="Times New Roman" w:eastAsia="仿宋" w:cs="宋体"/>
        <w:b/>
        <w:sz w:val="30"/>
      </w:rPr>
    </w:lvl>
    <w:lvl w:ilvl="3" w:tentative="0">
      <w:start w:val="1"/>
      <w:numFmt w:val="decimal"/>
      <w:suff w:val="nothing"/>
      <w:lvlText w:val="（%4）"/>
      <w:lvlJc w:val="left"/>
      <w:pPr>
        <w:tabs>
          <w:tab w:val="left" w:pos="0"/>
        </w:tabs>
        <w:ind w:left="0" w:firstLine="0"/>
      </w:pPr>
      <w:rPr>
        <w:rFonts w:hint="eastAsia" w:ascii="Times New Roman" w:hAnsi="Times New Roman" w:eastAsia="仿宋" w:cs="宋体"/>
        <w:b/>
        <w:sz w:val="28"/>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Tc2ZjdkMzg3ZmEzMzdjOWUyM2QwNGQ0N2ZiNmQifQ=="/>
  </w:docVars>
  <w:rsids>
    <w:rsidRoot w:val="00C9591D"/>
    <w:rsid w:val="00004337"/>
    <w:rsid w:val="001A343B"/>
    <w:rsid w:val="005C6527"/>
    <w:rsid w:val="005D21B5"/>
    <w:rsid w:val="00641570"/>
    <w:rsid w:val="00901EFC"/>
    <w:rsid w:val="00A25D43"/>
    <w:rsid w:val="00A717D4"/>
    <w:rsid w:val="00B561ED"/>
    <w:rsid w:val="00C9591D"/>
    <w:rsid w:val="00E0770D"/>
    <w:rsid w:val="00E73AFE"/>
    <w:rsid w:val="00EB5C43"/>
    <w:rsid w:val="010E1127"/>
    <w:rsid w:val="013C06BC"/>
    <w:rsid w:val="016E54D2"/>
    <w:rsid w:val="01782E3F"/>
    <w:rsid w:val="01C120D0"/>
    <w:rsid w:val="02104022"/>
    <w:rsid w:val="023B4412"/>
    <w:rsid w:val="02DC5CB3"/>
    <w:rsid w:val="032B5FEF"/>
    <w:rsid w:val="0334297A"/>
    <w:rsid w:val="03A52548"/>
    <w:rsid w:val="03BC7E2E"/>
    <w:rsid w:val="04243DB5"/>
    <w:rsid w:val="04BF763A"/>
    <w:rsid w:val="04C904B8"/>
    <w:rsid w:val="04FF1F9F"/>
    <w:rsid w:val="066E1317"/>
    <w:rsid w:val="06BD229F"/>
    <w:rsid w:val="07175632"/>
    <w:rsid w:val="076745CB"/>
    <w:rsid w:val="07CF5DE6"/>
    <w:rsid w:val="07F53064"/>
    <w:rsid w:val="087819DE"/>
    <w:rsid w:val="08C03D58"/>
    <w:rsid w:val="0A03621B"/>
    <w:rsid w:val="0A3A1862"/>
    <w:rsid w:val="0A6D26C1"/>
    <w:rsid w:val="0A761D9A"/>
    <w:rsid w:val="0ADD6A6C"/>
    <w:rsid w:val="0AFF2E86"/>
    <w:rsid w:val="0B1F0E32"/>
    <w:rsid w:val="0B776EC0"/>
    <w:rsid w:val="0BBA0474"/>
    <w:rsid w:val="0D0E73B0"/>
    <w:rsid w:val="0D57599F"/>
    <w:rsid w:val="0D83393E"/>
    <w:rsid w:val="0DC42165"/>
    <w:rsid w:val="0E172435"/>
    <w:rsid w:val="0E56100F"/>
    <w:rsid w:val="0EC00B7E"/>
    <w:rsid w:val="0EC266A4"/>
    <w:rsid w:val="0EC56195"/>
    <w:rsid w:val="0F6D029D"/>
    <w:rsid w:val="0F713C26"/>
    <w:rsid w:val="0FDF5034"/>
    <w:rsid w:val="104F1E11"/>
    <w:rsid w:val="11395683"/>
    <w:rsid w:val="119D51A7"/>
    <w:rsid w:val="11A958FA"/>
    <w:rsid w:val="11C20769"/>
    <w:rsid w:val="121328E5"/>
    <w:rsid w:val="123F4D19"/>
    <w:rsid w:val="12863E8D"/>
    <w:rsid w:val="12883761"/>
    <w:rsid w:val="137361BF"/>
    <w:rsid w:val="15027B80"/>
    <w:rsid w:val="158D63B9"/>
    <w:rsid w:val="16383C52"/>
    <w:rsid w:val="16702E8A"/>
    <w:rsid w:val="16B5089D"/>
    <w:rsid w:val="175005C5"/>
    <w:rsid w:val="181B0BD3"/>
    <w:rsid w:val="181D1E1F"/>
    <w:rsid w:val="182C45CC"/>
    <w:rsid w:val="1862520D"/>
    <w:rsid w:val="189501D2"/>
    <w:rsid w:val="19722A75"/>
    <w:rsid w:val="19D714B0"/>
    <w:rsid w:val="19E71DF4"/>
    <w:rsid w:val="1A364587"/>
    <w:rsid w:val="1A547635"/>
    <w:rsid w:val="1A7016AA"/>
    <w:rsid w:val="1AE856E5"/>
    <w:rsid w:val="1C3A1F70"/>
    <w:rsid w:val="1C4E77C9"/>
    <w:rsid w:val="1C6F597C"/>
    <w:rsid w:val="1CC01D49"/>
    <w:rsid w:val="1CDC3779"/>
    <w:rsid w:val="1DAF24EA"/>
    <w:rsid w:val="1DCE4E9C"/>
    <w:rsid w:val="1DEF0B38"/>
    <w:rsid w:val="1E2851F8"/>
    <w:rsid w:val="1E4C5F8A"/>
    <w:rsid w:val="1E6A6411"/>
    <w:rsid w:val="1F0B7BF4"/>
    <w:rsid w:val="1F1D7927"/>
    <w:rsid w:val="1F446F7A"/>
    <w:rsid w:val="20947DAF"/>
    <w:rsid w:val="20A756FA"/>
    <w:rsid w:val="20AC7E9E"/>
    <w:rsid w:val="21735783"/>
    <w:rsid w:val="223A2D60"/>
    <w:rsid w:val="227349F6"/>
    <w:rsid w:val="22B77DB2"/>
    <w:rsid w:val="23447230"/>
    <w:rsid w:val="24466FD8"/>
    <w:rsid w:val="247010E2"/>
    <w:rsid w:val="25597366"/>
    <w:rsid w:val="2561056D"/>
    <w:rsid w:val="25624FED"/>
    <w:rsid w:val="25C66622"/>
    <w:rsid w:val="25CB5E03"/>
    <w:rsid w:val="2624159B"/>
    <w:rsid w:val="26395046"/>
    <w:rsid w:val="26A83F7A"/>
    <w:rsid w:val="270F5DA7"/>
    <w:rsid w:val="272A0E33"/>
    <w:rsid w:val="273D0B66"/>
    <w:rsid w:val="274E4D44"/>
    <w:rsid w:val="27B64A81"/>
    <w:rsid w:val="27DC037F"/>
    <w:rsid w:val="28235F0B"/>
    <w:rsid w:val="288325A9"/>
    <w:rsid w:val="2A7A3E7F"/>
    <w:rsid w:val="2A885BC1"/>
    <w:rsid w:val="2A9071FF"/>
    <w:rsid w:val="2ABA24CE"/>
    <w:rsid w:val="2BEA7520"/>
    <w:rsid w:val="2C513B81"/>
    <w:rsid w:val="2CF47F19"/>
    <w:rsid w:val="2D097FBD"/>
    <w:rsid w:val="2E334A71"/>
    <w:rsid w:val="2EFC1307"/>
    <w:rsid w:val="2F2653C1"/>
    <w:rsid w:val="2FFC72B0"/>
    <w:rsid w:val="30970224"/>
    <w:rsid w:val="316C361E"/>
    <w:rsid w:val="318F6462"/>
    <w:rsid w:val="31A33CBC"/>
    <w:rsid w:val="31E42251"/>
    <w:rsid w:val="32340893"/>
    <w:rsid w:val="332901F1"/>
    <w:rsid w:val="3338220B"/>
    <w:rsid w:val="335A484E"/>
    <w:rsid w:val="345D1EA3"/>
    <w:rsid w:val="362F2524"/>
    <w:rsid w:val="36407D2B"/>
    <w:rsid w:val="36527A5E"/>
    <w:rsid w:val="3684230E"/>
    <w:rsid w:val="36CA3A99"/>
    <w:rsid w:val="37184804"/>
    <w:rsid w:val="372633C5"/>
    <w:rsid w:val="37985945"/>
    <w:rsid w:val="379E11AD"/>
    <w:rsid w:val="37D84221"/>
    <w:rsid w:val="37F76B0F"/>
    <w:rsid w:val="386677F1"/>
    <w:rsid w:val="386F2B4A"/>
    <w:rsid w:val="38710670"/>
    <w:rsid w:val="38B22A36"/>
    <w:rsid w:val="38B642D4"/>
    <w:rsid w:val="39040613"/>
    <w:rsid w:val="39A700C1"/>
    <w:rsid w:val="39FC7B65"/>
    <w:rsid w:val="3A0F2EAC"/>
    <w:rsid w:val="3A3A0F35"/>
    <w:rsid w:val="3ACF694F"/>
    <w:rsid w:val="3AD9074E"/>
    <w:rsid w:val="3B1F6416"/>
    <w:rsid w:val="3B487DD2"/>
    <w:rsid w:val="3BEF7718"/>
    <w:rsid w:val="3C3D701D"/>
    <w:rsid w:val="3CC527C1"/>
    <w:rsid w:val="3D4A76E1"/>
    <w:rsid w:val="3D51281E"/>
    <w:rsid w:val="3D7E5281"/>
    <w:rsid w:val="3DBD6105"/>
    <w:rsid w:val="3DD47A3F"/>
    <w:rsid w:val="3E9055C8"/>
    <w:rsid w:val="3EC314F9"/>
    <w:rsid w:val="3F6A6298"/>
    <w:rsid w:val="4033511A"/>
    <w:rsid w:val="40794B35"/>
    <w:rsid w:val="41BB6E00"/>
    <w:rsid w:val="41EC520B"/>
    <w:rsid w:val="42562684"/>
    <w:rsid w:val="42787C0A"/>
    <w:rsid w:val="42B32F81"/>
    <w:rsid w:val="42C46168"/>
    <w:rsid w:val="43374264"/>
    <w:rsid w:val="442742D8"/>
    <w:rsid w:val="44352E99"/>
    <w:rsid w:val="44D8093C"/>
    <w:rsid w:val="452A22D2"/>
    <w:rsid w:val="455813AE"/>
    <w:rsid w:val="456E4E81"/>
    <w:rsid w:val="45921C25"/>
    <w:rsid w:val="460F771A"/>
    <w:rsid w:val="468266D9"/>
    <w:rsid w:val="47A0687C"/>
    <w:rsid w:val="47A143A2"/>
    <w:rsid w:val="47C17CFE"/>
    <w:rsid w:val="48AB197C"/>
    <w:rsid w:val="4A176B9D"/>
    <w:rsid w:val="4A3B6D2F"/>
    <w:rsid w:val="4BAF1783"/>
    <w:rsid w:val="4C123AC0"/>
    <w:rsid w:val="4C373527"/>
    <w:rsid w:val="4C8B3DD4"/>
    <w:rsid w:val="4D041640"/>
    <w:rsid w:val="4D460313"/>
    <w:rsid w:val="4D472FA1"/>
    <w:rsid w:val="4D476A5E"/>
    <w:rsid w:val="4DA92202"/>
    <w:rsid w:val="4E437F61"/>
    <w:rsid w:val="4E477DF6"/>
    <w:rsid w:val="4E73063A"/>
    <w:rsid w:val="4F844CD5"/>
    <w:rsid w:val="4FE65048"/>
    <w:rsid w:val="4FFC0D0F"/>
    <w:rsid w:val="50052FF4"/>
    <w:rsid w:val="5041514D"/>
    <w:rsid w:val="50FE4613"/>
    <w:rsid w:val="52075749"/>
    <w:rsid w:val="52CA0F7A"/>
    <w:rsid w:val="53445747"/>
    <w:rsid w:val="539D45B7"/>
    <w:rsid w:val="53B1058C"/>
    <w:rsid w:val="541859EC"/>
    <w:rsid w:val="543D36A4"/>
    <w:rsid w:val="544E765F"/>
    <w:rsid w:val="54972199"/>
    <w:rsid w:val="55937A20"/>
    <w:rsid w:val="55AB748F"/>
    <w:rsid w:val="55DD0209"/>
    <w:rsid w:val="55E42029"/>
    <w:rsid w:val="563310BE"/>
    <w:rsid w:val="56666585"/>
    <w:rsid w:val="569A3030"/>
    <w:rsid w:val="56A1616C"/>
    <w:rsid w:val="57541431"/>
    <w:rsid w:val="57ED28E9"/>
    <w:rsid w:val="58112E7E"/>
    <w:rsid w:val="581D4903"/>
    <w:rsid w:val="583214E0"/>
    <w:rsid w:val="58CC1389"/>
    <w:rsid w:val="58D75E75"/>
    <w:rsid w:val="59063EF6"/>
    <w:rsid w:val="59101751"/>
    <w:rsid w:val="59701E26"/>
    <w:rsid w:val="5991139A"/>
    <w:rsid w:val="59E545C2"/>
    <w:rsid w:val="5A674620"/>
    <w:rsid w:val="5A7A6A7D"/>
    <w:rsid w:val="5AA026E6"/>
    <w:rsid w:val="5AF8590C"/>
    <w:rsid w:val="5BB92FBA"/>
    <w:rsid w:val="5C7F0CFE"/>
    <w:rsid w:val="5D1F428F"/>
    <w:rsid w:val="5D792DFC"/>
    <w:rsid w:val="5E1172C8"/>
    <w:rsid w:val="5E59732C"/>
    <w:rsid w:val="5E5F3717"/>
    <w:rsid w:val="5EBB1596"/>
    <w:rsid w:val="5F1F2324"/>
    <w:rsid w:val="5F3F6522"/>
    <w:rsid w:val="5FB57FD0"/>
    <w:rsid w:val="5FE61094"/>
    <w:rsid w:val="601804C5"/>
    <w:rsid w:val="604C7149"/>
    <w:rsid w:val="6057789C"/>
    <w:rsid w:val="60DD4245"/>
    <w:rsid w:val="614D13CA"/>
    <w:rsid w:val="61E3614F"/>
    <w:rsid w:val="61F061FA"/>
    <w:rsid w:val="634C7460"/>
    <w:rsid w:val="64330CDF"/>
    <w:rsid w:val="64805613"/>
    <w:rsid w:val="64DB0A9B"/>
    <w:rsid w:val="65CD36ED"/>
    <w:rsid w:val="65D42AD7"/>
    <w:rsid w:val="66061B48"/>
    <w:rsid w:val="66FB3677"/>
    <w:rsid w:val="677C6D9D"/>
    <w:rsid w:val="67D6379C"/>
    <w:rsid w:val="67F41FE9"/>
    <w:rsid w:val="68085778"/>
    <w:rsid w:val="688A4CB2"/>
    <w:rsid w:val="6A3824EC"/>
    <w:rsid w:val="6AD96E0B"/>
    <w:rsid w:val="6B182670"/>
    <w:rsid w:val="6B361121"/>
    <w:rsid w:val="6B3B6738"/>
    <w:rsid w:val="6B6537B4"/>
    <w:rsid w:val="6B7C1B7E"/>
    <w:rsid w:val="6C865790"/>
    <w:rsid w:val="6CCE7137"/>
    <w:rsid w:val="6D090170"/>
    <w:rsid w:val="6D237483"/>
    <w:rsid w:val="6D8C327A"/>
    <w:rsid w:val="6D992FE7"/>
    <w:rsid w:val="6DCD7245"/>
    <w:rsid w:val="6E0340F1"/>
    <w:rsid w:val="6E1D2124"/>
    <w:rsid w:val="6E49116B"/>
    <w:rsid w:val="6E6D2905"/>
    <w:rsid w:val="6EAE1443"/>
    <w:rsid w:val="6EAF582D"/>
    <w:rsid w:val="6EC66588"/>
    <w:rsid w:val="6F0D4695"/>
    <w:rsid w:val="6F40431D"/>
    <w:rsid w:val="6F563B40"/>
    <w:rsid w:val="71BE777B"/>
    <w:rsid w:val="722C6DDA"/>
    <w:rsid w:val="727367B7"/>
    <w:rsid w:val="72D8486C"/>
    <w:rsid w:val="72E23E9F"/>
    <w:rsid w:val="74DE68E8"/>
    <w:rsid w:val="751F6782"/>
    <w:rsid w:val="758D7B90"/>
    <w:rsid w:val="75CB06B8"/>
    <w:rsid w:val="76353E94"/>
    <w:rsid w:val="76424E1E"/>
    <w:rsid w:val="767F4D5D"/>
    <w:rsid w:val="76BF646F"/>
    <w:rsid w:val="78063C29"/>
    <w:rsid w:val="782C7B34"/>
    <w:rsid w:val="78D43D28"/>
    <w:rsid w:val="78F45A6B"/>
    <w:rsid w:val="7961380D"/>
    <w:rsid w:val="79D93881"/>
    <w:rsid w:val="7A8C079F"/>
    <w:rsid w:val="7B1728DD"/>
    <w:rsid w:val="7B521F16"/>
    <w:rsid w:val="7BBC2F7D"/>
    <w:rsid w:val="7BD55BC8"/>
    <w:rsid w:val="7C0466D2"/>
    <w:rsid w:val="7C134B67"/>
    <w:rsid w:val="7C3A1BEA"/>
    <w:rsid w:val="7C4259AE"/>
    <w:rsid w:val="7CAA1027"/>
    <w:rsid w:val="7CCF4F32"/>
    <w:rsid w:val="7D662CB3"/>
    <w:rsid w:val="7D984F94"/>
    <w:rsid w:val="7E7318ED"/>
    <w:rsid w:val="7EC64112"/>
    <w:rsid w:val="7ECD2C87"/>
    <w:rsid w:val="7F2D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numPr>
        <w:ilvl w:val="1"/>
        <w:numId w:val="1"/>
      </w:numPr>
      <w:spacing w:before="50" w:beforeLines="50"/>
      <w:ind w:firstLine="560"/>
      <w:outlineLvl w:val="1"/>
    </w:pPr>
    <w:rPr>
      <w:rFonts w:eastAsia="楷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6356</Words>
  <Characters>14021</Characters>
  <Lines>81</Lines>
  <Paragraphs>22</Paragraphs>
  <TotalTime>2</TotalTime>
  <ScaleCrop>false</ScaleCrop>
  <LinksUpToDate>false</LinksUpToDate>
  <CharactersWithSpaces>14161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冬哥</cp:lastModifiedBy>
  <dcterms:modified xsi:type="dcterms:W3CDTF">2023-10-08T09:02:50Z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ABF9D7E7AD77439C9277EF6745CA75FD_13</vt:lpwstr>
  </property>
</Properties>
</file>